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D2BA" w14:textId="77777777" w:rsidR="009D6F92" w:rsidRPr="006A5AC1" w:rsidRDefault="009D6F92" w:rsidP="009D6F92">
      <w:pPr>
        <w:spacing w:after="0" w:line="284" w:lineRule="exact"/>
        <w:rPr>
          <w:rFonts w:ascii="Arial" w:eastAsia="Arial" w:hAnsi="Arial" w:cs="Arial"/>
          <w:b/>
          <w:bCs/>
          <w:kern w:val="0"/>
          <w14:ligatures w14:val="none"/>
        </w:rPr>
      </w:pPr>
      <w:r>
        <w:rPr>
          <w:rFonts w:ascii="Arial" w:hAnsi="Arial"/>
          <w:b/>
        </w:rPr>
        <w:t>Appendix 1:</w:t>
      </w:r>
    </w:p>
    <w:p w14:paraId="3841E9C9" w14:textId="77777777" w:rsidR="009D6F92" w:rsidRPr="006A5AC1" w:rsidRDefault="009D6F92" w:rsidP="009D6F92">
      <w:pPr>
        <w:spacing w:after="0" w:line="284" w:lineRule="exact"/>
        <w:rPr>
          <w:rFonts w:ascii="Arial" w:eastAsia="Arial" w:hAnsi="Arial" w:cs="Arial"/>
          <w:b/>
          <w:bCs/>
          <w:kern w:val="0"/>
          <w14:ligatures w14:val="none"/>
        </w:rPr>
      </w:pPr>
      <w:r>
        <w:rPr>
          <w:rFonts w:ascii="Arial" w:hAnsi="Arial"/>
          <w:b/>
        </w:rPr>
        <w:t>Checklist for the bringing on board of additives</w:t>
      </w:r>
    </w:p>
    <w:p w14:paraId="53B2910C" w14:textId="77777777" w:rsidR="009D6F92" w:rsidRPr="00853324" w:rsidRDefault="009D6F92" w:rsidP="009D6F92">
      <w:pPr>
        <w:spacing w:after="0" w:line="284" w:lineRule="exact"/>
        <w:rPr>
          <w:rFonts w:ascii="Arial" w:eastAsia="Arial" w:hAnsi="Arial" w:cs="Arial"/>
          <w:b/>
          <w:bCs/>
          <w:kern w:val="0"/>
          <w:lang w:val="en-US" w:eastAsia="zh-CN"/>
          <w14:ligatures w14:val="none"/>
        </w:rPr>
      </w:pPr>
    </w:p>
    <w:p w14:paraId="047348B6" w14:textId="77777777" w:rsidR="009D6F92" w:rsidRPr="006A5AC1" w:rsidRDefault="009D6F92" w:rsidP="009D6F92">
      <w:pPr>
        <w:spacing w:after="0" w:line="284" w:lineRule="exact"/>
        <w:rPr>
          <w:rFonts w:ascii="Arial" w:eastAsia="Arial" w:hAnsi="Arial" w:cs="Arial"/>
          <w:kern w:val="0"/>
          <w14:ligatures w14:val="none"/>
        </w:rPr>
      </w:pPr>
      <w:r>
        <w:rPr>
          <w:rFonts w:ascii="Arial" w:hAnsi="Arial"/>
        </w:rPr>
        <w:t xml:space="preserve">This checklist is also available on the website of Port of Amsterdam N.V. </w:t>
      </w:r>
      <w:hyperlink r:id="rId10" w:history="1">
        <w:r w:rsidRPr="008B0F8F">
          <w:rPr>
            <w:rStyle w:val="Hyperlink"/>
            <w:rFonts w:ascii="Arial" w:hAnsi="Arial" w:cs="Arial"/>
          </w:rPr>
          <w:t>https://www.portofamsterdam.com/en/shipping/sea-shipping</w:t>
        </w:r>
      </w:hyperlink>
      <w:r w:rsidRPr="008B0F8F">
        <w:rPr>
          <w:rFonts w:ascii="Arial" w:hAnsi="Arial" w:cs="Arial"/>
        </w:rPr>
        <w:t xml:space="preserve"> </w:t>
      </w:r>
    </w:p>
    <w:p w14:paraId="55B92F4E" w14:textId="77777777" w:rsidR="009D6F92" w:rsidRPr="00853324" w:rsidRDefault="009D6F92" w:rsidP="009D6F92">
      <w:pPr>
        <w:pBdr>
          <w:top w:val="nil"/>
          <w:left w:val="nil"/>
          <w:bottom w:val="nil"/>
          <w:right w:val="nil"/>
          <w:between w:val="nil"/>
        </w:pBdr>
        <w:spacing w:after="0" w:line="240" w:lineRule="auto"/>
        <w:rPr>
          <w:rFonts w:ascii="Calibri" w:eastAsia="Calibri" w:hAnsi="Calibri" w:cs="Calibri"/>
          <w:b/>
          <w:color w:val="000000"/>
          <w:kern w:val="0"/>
          <w:sz w:val="28"/>
          <w:szCs w:val="28"/>
          <w:lang w:val="en-US" w:eastAsia="zh-CN"/>
          <w14:ligatures w14:val="none"/>
        </w:rPr>
      </w:pPr>
    </w:p>
    <w:p w14:paraId="3C589E39"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sz w:val="28"/>
          <w:szCs w:val="28"/>
          <w14:ligatures w14:val="none"/>
        </w:rPr>
      </w:pPr>
      <w:r>
        <w:rPr>
          <w:rFonts w:ascii="Arial" w:hAnsi="Arial"/>
          <w:b/>
          <w:color w:val="000000"/>
          <w:sz w:val="28"/>
        </w:rPr>
        <w:t>Checklist for the bringing on board of additives (Article 8.7, first Paragraph of the Regional Port Byelaws for the North Sea Canal Area 2023)</w:t>
      </w:r>
    </w:p>
    <w:p w14:paraId="2EBAD736"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sz w:val="28"/>
          <w:szCs w:val="28"/>
          <w:lang w:val="en-US" w:eastAsia="zh-CN"/>
          <w14:ligatures w14:val="none"/>
        </w:rPr>
      </w:pPr>
    </w:p>
    <w:p w14:paraId="50DEF8AD"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sz w:val="24"/>
          <w:szCs w:val="24"/>
          <w14:ligatures w14:val="none"/>
        </w:rPr>
      </w:pPr>
      <w:r>
        <w:rPr>
          <w:rFonts w:ascii="Arial" w:hAnsi="Arial"/>
          <w:b/>
          <w:color w:val="000000"/>
          <w:sz w:val="24"/>
        </w:rPr>
        <w:t>General</w:t>
      </w:r>
    </w:p>
    <w:p w14:paraId="14F6D852"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t>The completion and compliance with the checklist for the bringing on board of additives (hereinafter: the checklist) is mandatory pursuant to Article 8.7, Paragraph 3 of the Regional Port Byelaws for the North Sea Canal Area 2023. Completion and compliance apply to the following additives:</w:t>
      </w:r>
    </w:p>
    <w:p w14:paraId="5CD5829A" w14:textId="77777777" w:rsidR="009D6F92" w:rsidRPr="003A3441" w:rsidRDefault="009D6F92" w:rsidP="009D6F92">
      <w:pPr>
        <w:pBdr>
          <w:top w:val="nil"/>
          <w:left w:val="nil"/>
          <w:bottom w:val="nil"/>
          <w:right w:val="nil"/>
          <w:between w:val="nil"/>
        </w:pBdr>
        <w:tabs>
          <w:tab w:val="left" w:pos="426"/>
        </w:tabs>
        <w:spacing w:after="0" w:line="240" w:lineRule="auto"/>
        <w:rPr>
          <w:rFonts w:ascii="Arial" w:eastAsia="Calibri" w:hAnsi="Arial" w:cs="Arial"/>
          <w:color w:val="000000"/>
          <w:kern w:val="0"/>
          <w14:ligatures w14:val="none"/>
        </w:rPr>
      </w:pPr>
      <w:r w:rsidRPr="190E1189">
        <w:rPr>
          <w:rFonts w:ascii="Arial" w:hAnsi="Arial"/>
          <w:color w:val="000000" w:themeColor="text1"/>
        </w:rPr>
        <w:t>1.</w:t>
      </w:r>
      <w:r>
        <w:tab/>
      </w:r>
      <w:r w:rsidRPr="190E1189">
        <w:rPr>
          <w:rFonts w:ascii="Arial" w:hAnsi="Arial"/>
          <w:color w:val="000000" w:themeColor="text1"/>
        </w:rPr>
        <w:t xml:space="preserve">ammonia solution; </w:t>
      </w:r>
    </w:p>
    <w:p w14:paraId="06002C5C" w14:textId="77777777" w:rsidR="009D6F92" w:rsidRPr="003A3441" w:rsidRDefault="009D6F92" w:rsidP="009D6F92">
      <w:pPr>
        <w:pBdr>
          <w:top w:val="nil"/>
          <w:left w:val="nil"/>
          <w:bottom w:val="nil"/>
          <w:right w:val="nil"/>
          <w:between w:val="nil"/>
        </w:pBdr>
        <w:tabs>
          <w:tab w:val="left" w:pos="426"/>
        </w:tabs>
        <w:spacing w:after="0" w:line="240" w:lineRule="auto"/>
        <w:rPr>
          <w:rFonts w:ascii="Arial" w:eastAsia="Calibri" w:hAnsi="Arial" w:cs="Arial"/>
          <w:color w:val="000000"/>
          <w:kern w:val="0"/>
          <w14:ligatures w14:val="none"/>
        </w:rPr>
      </w:pPr>
      <w:r w:rsidRPr="190E1189">
        <w:rPr>
          <w:rFonts w:ascii="Arial" w:hAnsi="Arial"/>
          <w:color w:val="000000" w:themeColor="text1"/>
        </w:rPr>
        <w:t>2.</w:t>
      </w:r>
      <w:r>
        <w:tab/>
      </w:r>
      <w:proofErr w:type="spellStart"/>
      <w:r w:rsidRPr="190E1189">
        <w:rPr>
          <w:rFonts w:ascii="Arial" w:hAnsi="Arial"/>
          <w:color w:val="000000" w:themeColor="text1"/>
        </w:rPr>
        <w:t>monoethanolamine</w:t>
      </w:r>
      <w:proofErr w:type="spellEnd"/>
      <w:r w:rsidRPr="190E1189">
        <w:rPr>
          <w:rFonts w:ascii="Arial" w:hAnsi="Arial"/>
          <w:color w:val="000000" w:themeColor="text1"/>
        </w:rPr>
        <w:t>;</w:t>
      </w:r>
    </w:p>
    <w:p w14:paraId="4FB273CD" w14:textId="77777777" w:rsidR="009D6F92" w:rsidRPr="009D09A7" w:rsidRDefault="009D6F92" w:rsidP="009D6F92">
      <w:pPr>
        <w:pBdr>
          <w:top w:val="nil"/>
          <w:left w:val="nil"/>
          <w:bottom w:val="nil"/>
          <w:right w:val="nil"/>
          <w:between w:val="nil"/>
        </w:pBdr>
        <w:tabs>
          <w:tab w:val="left" w:pos="426"/>
        </w:tabs>
        <w:spacing w:after="0" w:line="240" w:lineRule="auto"/>
        <w:rPr>
          <w:rFonts w:ascii="Arial" w:eastAsia="Calibri" w:hAnsi="Arial" w:cs="Arial"/>
          <w:color w:val="000000"/>
          <w:kern w:val="0"/>
          <w14:ligatures w14:val="none"/>
        </w:rPr>
      </w:pPr>
      <w:r w:rsidRPr="190E1189">
        <w:rPr>
          <w:rFonts w:ascii="Arial" w:hAnsi="Arial"/>
          <w:color w:val="000000" w:themeColor="text1"/>
        </w:rPr>
        <w:t>3.</w:t>
      </w:r>
      <w:r>
        <w:tab/>
      </w:r>
      <w:r w:rsidRPr="190E1189">
        <w:rPr>
          <w:rFonts w:ascii="Arial" w:hAnsi="Arial"/>
          <w:color w:val="000000" w:themeColor="text1"/>
        </w:rPr>
        <w:t xml:space="preserve">sodium hydroxide;  </w:t>
      </w:r>
    </w:p>
    <w:p w14:paraId="0C116A06" w14:textId="77777777" w:rsidR="009D6F92" w:rsidRPr="009D09A7" w:rsidRDefault="009D6F92" w:rsidP="009D6F92">
      <w:pPr>
        <w:pBdr>
          <w:top w:val="nil"/>
          <w:left w:val="nil"/>
          <w:bottom w:val="nil"/>
          <w:right w:val="nil"/>
          <w:between w:val="nil"/>
        </w:pBdr>
        <w:tabs>
          <w:tab w:val="left" w:pos="426"/>
        </w:tabs>
        <w:spacing w:after="0" w:line="240" w:lineRule="auto"/>
        <w:rPr>
          <w:rFonts w:ascii="Arial" w:eastAsia="Calibri" w:hAnsi="Arial" w:cs="Arial"/>
          <w:color w:val="000000"/>
          <w:kern w:val="0"/>
          <w14:ligatures w14:val="none"/>
        </w:rPr>
      </w:pPr>
      <w:r>
        <w:rPr>
          <w:rFonts w:ascii="Arial" w:hAnsi="Arial"/>
          <w:color w:val="000000"/>
        </w:rPr>
        <w:t>4.</w:t>
      </w:r>
      <w:r>
        <w:rPr>
          <w:rFonts w:ascii="Arial" w:hAnsi="Arial"/>
          <w:color w:val="000000"/>
        </w:rPr>
        <w:tab/>
        <w:t>lubricating oil, or</w:t>
      </w:r>
    </w:p>
    <w:p w14:paraId="131D26E6" w14:textId="77777777" w:rsidR="009D6F92" w:rsidRPr="009D09A7" w:rsidRDefault="009D6F92" w:rsidP="009D6F92">
      <w:pPr>
        <w:pBdr>
          <w:top w:val="nil"/>
          <w:left w:val="nil"/>
          <w:bottom w:val="nil"/>
          <w:right w:val="nil"/>
          <w:between w:val="nil"/>
        </w:pBdr>
        <w:tabs>
          <w:tab w:val="left" w:pos="426"/>
        </w:tabs>
        <w:spacing w:after="0" w:line="240" w:lineRule="auto"/>
        <w:rPr>
          <w:rFonts w:ascii="Arial" w:eastAsia="Calibri" w:hAnsi="Arial" w:cs="Arial"/>
          <w:color w:val="000000"/>
          <w:kern w:val="0"/>
          <w14:ligatures w14:val="none"/>
        </w:rPr>
      </w:pPr>
      <w:r>
        <w:rPr>
          <w:rFonts w:ascii="Arial" w:hAnsi="Arial"/>
          <w:color w:val="000000"/>
        </w:rPr>
        <w:t>5.</w:t>
      </w:r>
      <w:r>
        <w:rPr>
          <w:rFonts w:ascii="Arial" w:hAnsi="Arial"/>
          <w:color w:val="000000"/>
        </w:rPr>
        <w:tab/>
        <w:t>urea.</w:t>
      </w:r>
    </w:p>
    <w:p w14:paraId="6069FA4D"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lang w:val="en-US" w:eastAsia="zh-CN"/>
          <w14:ligatures w14:val="none"/>
        </w:rPr>
      </w:pPr>
    </w:p>
    <w:p w14:paraId="5CB45761"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t>The responsibility and liability for the safe execution of simultaneous operations while a vessel is receiving additives from a delivering vessel are jointly shared between the captains/skippers of both vessels. The responsibility for bringing additives on board is typically delegated to the officers designated as responsible on both vessels. Before the operation begins, the responsible officers must:</w:t>
      </w:r>
    </w:p>
    <w:p w14:paraId="0D89044D" w14:textId="77777777" w:rsidR="009D6F92" w:rsidRPr="003A3441" w:rsidRDefault="009D6F92" w:rsidP="009D6F92">
      <w:pPr>
        <w:numPr>
          <w:ilvl w:val="0"/>
          <w:numId w:val="3"/>
        </w:numPr>
        <w:pBdr>
          <w:top w:val="nil"/>
          <w:left w:val="nil"/>
          <w:bottom w:val="nil"/>
          <w:right w:val="nil"/>
          <w:between w:val="nil"/>
        </w:pBdr>
        <w:spacing w:after="0" w:line="240" w:lineRule="auto"/>
        <w:ind w:left="426" w:hanging="426"/>
        <w:rPr>
          <w:rFonts w:ascii="Arial" w:eastAsia="Arial" w:hAnsi="Arial" w:cs="Arial"/>
          <w:color w:val="000000"/>
          <w:kern w:val="0"/>
          <w14:ligatures w14:val="none"/>
        </w:rPr>
      </w:pPr>
      <w:r w:rsidRPr="190E1189">
        <w:rPr>
          <w:rFonts w:ascii="Arial" w:hAnsi="Arial"/>
          <w:color w:val="000000" w:themeColor="text1"/>
        </w:rPr>
        <w:t>agree in writing on the handling procedures, including the maximum pump rates</w:t>
      </w:r>
    </w:p>
    <w:p w14:paraId="5C76AC34" w14:textId="77777777" w:rsidR="009D6F92" w:rsidRPr="003A3441" w:rsidRDefault="009D6F92" w:rsidP="009D6F92">
      <w:pPr>
        <w:numPr>
          <w:ilvl w:val="0"/>
          <w:numId w:val="3"/>
        </w:numPr>
        <w:pBdr>
          <w:top w:val="nil"/>
          <w:left w:val="nil"/>
          <w:bottom w:val="nil"/>
          <w:right w:val="nil"/>
          <w:between w:val="nil"/>
        </w:pBdr>
        <w:spacing w:after="0" w:line="240" w:lineRule="auto"/>
        <w:ind w:left="426" w:hanging="426"/>
        <w:rPr>
          <w:rFonts w:ascii="Arial" w:eastAsia="Calibri" w:hAnsi="Arial" w:cs="Arial"/>
          <w:color w:val="000000"/>
          <w:kern w:val="0"/>
          <w14:ligatures w14:val="none"/>
        </w:rPr>
      </w:pPr>
      <w:r>
        <w:rPr>
          <w:rFonts w:ascii="Arial" w:hAnsi="Arial"/>
          <w:color w:val="000000"/>
        </w:rPr>
        <w:t>agree in writing on the actions to be taken in case of an emergency during the transfer of additives, and</w:t>
      </w:r>
    </w:p>
    <w:p w14:paraId="4FB92380" w14:textId="77777777" w:rsidR="009D6F92" w:rsidRPr="003A3441" w:rsidRDefault="009D6F92" w:rsidP="009D6F92">
      <w:pPr>
        <w:numPr>
          <w:ilvl w:val="0"/>
          <w:numId w:val="3"/>
        </w:numPr>
        <w:pBdr>
          <w:top w:val="nil"/>
          <w:left w:val="nil"/>
          <w:bottom w:val="nil"/>
          <w:right w:val="nil"/>
          <w:between w:val="nil"/>
        </w:pBdr>
        <w:spacing w:after="0" w:line="240" w:lineRule="auto"/>
        <w:ind w:left="426" w:hanging="426"/>
        <w:rPr>
          <w:rFonts w:ascii="Arial" w:eastAsia="Calibri" w:hAnsi="Arial" w:cs="Arial"/>
          <w:color w:val="000000"/>
          <w:kern w:val="0"/>
          <w14:ligatures w14:val="none"/>
        </w:rPr>
      </w:pPr>
      <w:r>
        <w:rPr>
          <w:rFonts w:ascii="Arial" w:hAnsi="Arial"/>
          <w:color w:val="000000"/>
        </w:rPr>
        <w:t>complete and sign the checklist for the bringing on board of additives</w:t>
      </w:r>
    </w:p>
    <w:p w14:paraId="0C93D2D3"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lang w:val="en-US" w:eastAsia="zh-CN"/>
          <w14:ligatures w14:val="none"/>
        </w:rPr>
      </w:pPr>
    </w:p>
    <w:p w14:paraId="1E0B9CA8"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t xml:space="preserve">This checklist is based on the Ship/Shore Safety Check-List and the Pre-Transfer Bunkering Check-List in the IMO publication </w:t>
      </w:r>
      <w:r w:rsidRPr="190E1189">
        <w:rPr>
          <w:rFonts w:ascii="Arial" w:hAnsi="Arial"/>
          <w:i/>
          <w:color w:val="000000" w:themeColor="text1"/>
        </w:rPr>
        <w:t>‘Recommendations for Safe Transport of Dangerous Cargoes and Related Activities in Port Areas’.</w:t>
      </w:r>
    </w:p>
    <w:p w14:paraId="3E858EC1"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B050"/>
          <w:kern w:val="0"/>
          <w14:ligatures w14:val="none"/>
        </w:rPr>
      </w:pPr>
      <w:r>
        <w:rPr>
          <w:rFonts w:ascii="Arial" w:hAnsi="Arial"/>
          <w:color w:val="000000"/>
        </w:rPr>
        <w:t xml:space="preserve">The checklist is primarily intended for the bringing on board of additives from another vessel. </w:t>
      </w:r>
    </w:p>
    <w:p w14:paraId="24C26505"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b/>
          <w:bCs/>
          <w:color w:val="000000"/>
          <w:kern w:val="0"/>
          <w:sz w:val="24"/>
          <w:szCs w:val="24"/>
          <w:lang w:val="en-US" w:eastAsia="zh-CN"/>
          <w14:ligatures w14:val="none"/>
        </w:rPr>
      </w:pPr>
    </w:p>
    <w:p w14:paraId="50AA41AA"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sz w:val="24"/>
          <w:szCs w:val="24"/>
          <w14:ligatures w14:val="none"/>
        </w:rPr>
      </w:pPr>
      <w:r>
        <w:rPr>
          <w:rFonts w:ascii="Arial" w:hAnsi="Arial"/>
          <w:b/>
          <w:color w:val="000000"/>
          <w:sz w:val="24"/>
        </w:rPr>
        <w:t>Guidelines for Use</w:t>
      </w:r>
    </w:p>
    <w:p w14:paraId="2EA5F039"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b/>
          <w:bCs/>
          <w:color w:val="000000"/>
          <w:kern w:val="0"/>
          <w:sz w:val="24"/>
          <w:szCs w:val="24"/>
          <w:lang w:val="en-US" w:eastAsia="zh-CN"/>
          <w14:ligatures w14:val="none"/>
        </w:rPr>
      </w:pPr>
    </w:p>
    <w:p w14:paraId="2EFD8FE7"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sz w:val="24"/>
          <w:szCs w:val="24"/>
          <w14:ligatures w14:val="none"/>
        </w:rPr>
      </w:pPr>
      <w:r>
        <w:rPr>
          <w:rFonts w:ascii="Arial" w:hAnsi="Arial"/>
          <w:b/>
          <w:color w:val="000000"/>
          <w:sz w:val="24"/>
        </w:rPr>
        <w:t>Additives, although not always classified as Class 8 substances, often have corrosive properties.</w:t>
      </w:r>
    </w:p>
    <w:p w14:paraId="5086588C"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t>The following guidelines have been established to assist ship and inland waterway operators in the joint use of this checklist.</w:t>
      </w:r>
    </w:p>
    <w:p w14:paraId="4CFFE593"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lang w:val="en-US" w:eastAsia="zh-CN"/>
          <w14:ligatures w14:val="none"/>
        </w:rPr>
      </w:pPr>
    </w:p>
    <w:p w14:paraId="101715C4"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Pr>
          <w:rFonts w:ascii="Arial" w:hAnsi="Arial"/>
          <w:color w:val="000000"/>
        </w:rPr>
        <w:t>The responsibilities outlined in this checklist are formally assigned in the document. Once signed, the checklist serves as a minimum safety standard for the onboard transfer of additives, ensuring a structured exchange of critical safety information.</w:t>
      </w:r>
    </w:p>
    <w:p w14:paraId="60AAC01E"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lang w:val="en-US" w:eastAsia="zh-CN"/>
          <w14:ligatures w14:val="none"/>
        </w:rPr>
      </w:pPr>
    </w:p>
    <w:p w14:paraId="4ED2D75B" w14:textId="77777777" w:rsidR="009D6F92" w:rsidRDefault="009D6F92" w:rsidP="009D6F92">
      <w:pPr>
        <w:pBdr>
          <w:top w:val="nil"/>
          <w:left w:val="nil"/>
          <w:bottom w:val="nil"/>
          <w:right w:val="nil"/>
          <w:between w:val="nil"/>
        </w:pBdr>
        <w:spacing w:after="0" w:line="240" w:lineRule="auto"/>
        <w:rPr>
          <w:rFonts w:ascii="Arial" w:hAnsi="Arial"/>
          <w:color w:val="000000" w:themeColor="text1"/>
        </w:rPr>
      </w:pPr>
    </w:p>
    <w:p w14:paraId="5895D78D" w14:textId="77777777" w:rsidR="009D6F92" w:rsidRDefault="009D6F92" w:rsidP="009D6F92">
      <w:pPr>
        <w:pBdr>
          <w:top w:val="nil"/>
          <w:left w:val="nil"/>
          <w:bottom w:val="nil"/>
          <w:right w:val="nil"/>
          <w:between w:val="nil"/>
        </w:pBdr>
        <w:spacing w:after="0" w:line="240" w:lineRule="auto"/>
        <w:rPr>
          <w:rFonts w:ascii="Arial" w:hAnsi="Arial"/>
          <w:color w:val="000000" w:themeColor="text1"/>
        </w:rPr>
      </w:pPr>
    </w:p>
    <w:p w14:paraId="1AB096F7" w14:textId="77777777" w:rsidR="009D6F92" w:rsidRDefault="009D6F92" w:rsidP="009D6F92">
      <w:pPr>
        <w:pBdr>
          <w:top w:val="nil"/>
          <w:left w:val="nil"/>
          <w:bottom w:val="nil"/>
          <w:right w:val="nil"/>
          <w:between w:val="nil"/>
        </w:pBdr>
        <w:spacing w:after="0" w:line="240" w:lineRule="auto"/>
        <w:rPr>
          <w:rFonts w:ascii="Arial" w:hAnsi="Arial"/>
          <w:color w:val="000000" w:themeColor="text1"/>
        </w:rPr>
      </w:pPr>
    </w:p>
    <w:p w14:paraId="1199166B" w14:textId="077B27C0"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lastRenderedPageBreak/>
        <w:t>Prior to initiating the bringing on board of an additive, all applicable regulations must be reviewed, and the responsibility for compliance must be jointly or individually accepted. Acceptance of responsibility is indicated by ticking or completing the white boxes next to the relevant requirements, in the respective columns for the “receiving vessel” and the “delivering vessel”, to be signed by the master(s) and/or skipper(s). The final declaration at the end of the checklist must also be signed. In accordance with Article 8.7, third Paragraph, compliance with the checklist requirements is mandatory.</w:t>
      </w:r>
    </w:p>
    <w:p w14:paraId="38FDC058"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lang w:val="en-US" w:eastAsia="zh-CN"/>
          <w14:ligatures w14:val="none"/>
        </w:rPr>
      </w:pPr>
    </w:p>
    <w:p w14:paraId="79C8AFA8"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t>The responsible officers of both vessels must personally verify compliance with the regulations assigned to their respective vessels. During this verification, the responsible officers must also ensure that all applicable regulations have been observed on both sides of the additive transfer operation. Some checklist declarations refer to requirements for which the receiving vessel holds sole responsibility and liability, others to requirements solely under the delivering vessel’s responsibility and liability, while some impose joint responsibility and liability on both parties. Shaded boxes are used to identify statements that generally apply to only one party. However, the receiving vessel or the delivering vessel may choose to tick or initial these sections where appropriate.</w:t>
      </w:r>
    </w:p>
    <w:p w14:paraId="2307A902"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t>The allocation of responsibility and liability does not exclude the other party from conducting checks to confirm compliance. The assignment of responsibility and liability provides clear identification of the party accountable for the initial and continued compliance during the transfer of additive(s).</w:t>
      </w:r>
    </w:p>
    <w:p w14:paraId="77EB77A2"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lang w:val="en-US" w:eastAsia="zh-CN"/>
          <w14:ligatures w14:val="none"/>
        </w:rPr>
      </w:pPr>
    </w:p>
    <w:p w14:paraId="1F596DC0"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Pr>
          <w:rFonts w:ascii="Arial" w:hAnsi="Arial"/>
          <w:color w:val="000000"/>
        </w:rPr>
        <w:t>The responsible officers completing the checklist must be the designated personnel overseeing the bringing on board of additives.</w:t>
      </w:r>
    </w:p>
    <w:p w14:paraId="44D427CE" w14:textId="77777777" w:rsidR="009D6F92" w:rsidRPr="003A3441" w:rsidRDefault="009D6F92" w:rsidP="009D6F92">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rPr>
        <w:t>The responsible officer of the delivering vessel must personally verify all considerations that fall under the delivering vessel’s responsibility. Likewise, the responsible officer of the receiving vessel must personally verify all considerations that fall under the receiving vessel’s responsibility. In fulfilling their duties, responsible officers must ensure that the safety standards on both sides of the operation are fully met.</w:t>
      </w:r>
    </w:p>
    <w:p w14:paraId="1A07E780" w14:textId="77777777" w:rsidR="009D6F92" w:rsidRPr="003A3441"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Pr>
          <w:rFonts w:ascii="Arial" w:hAnsi="Arial"/>
          <w:color w:val="000000"/>
        </w:rPr>
        <w:t>This can be achieved through:</w:t>
      </w:r>
    </w:p>
    <w:p w14:paraId="3C48CEED" w14:textId="77777777" w:rsidR="009D6F92" w:rsidRPr="003A3441" w:rsidRDefault="009D6F92" w:rsidP="009D6F92">
      <w:pPr>
        <w:numPr>
          <w:ilvl w:val="0"/>
          <w:numId w:val="4"/>
        </w:numPr>
        <w:pBdr>
          <w:top w:val="nil"/>
          <w:left w:val="nil"/>
          <w:bottom w:val="nil"/>
          <w:right w:val="nil"/>
          <w:between w:val="nil"/>
        </w:pBdr>
        <w:spacing w:after="0" w:line="240" w:lineRule="auto"/>
        <w:ind w:left="426" w:hanging="426"/>
        <w:rPr>
          <w:rFonts w:ascii="Arial" w:eastAsia="Arial" w:hAnsi="Arial" w:cs="Arial"/>
          <w:color w:val="000000"/>
          <w:kern w:val="0"/>
          <w14:ligatures w14:val="none"/>
        </w:rPr>
      </w:pPr>
      <w:r>
        <w:rPr>
          <w:rFonts w:ascii="Arial" w:hAnsi="Arial"/>
          <w:color w:val="000000"/>
        </w:rPr>
        <w:t>confirming that a competent person has satisfactorily completed the checklist</w:t>
      </w:r>
    </w:p>
    <w:p w14:paraId="50372121" w14:textId="77777777" w:rsidR="009D6F92" w:rsidRPr="003A3441" w:rsidRDefault="009D6F92" w:rsidP="009D6F92">
      <w:pPr>
        <w:numPr>
          <w:ilvl w:val="0"/>
          <w:numId w:val="4"/>
        </w:numPr>
        <w:pBdr>
          <w:top w:val="nil"/>
          <w:left w:val="nil"/>
          <w:bottom w:val="nil"/>
          <w:right w:val="nil"/>
          <w:between w:val="nil"/>
        </w:pBdr>
        <w:spacing w:after="0" w:line="240" w:lineRule="auto"/>
        <w:ind w:left="426" w:hanging="426"/>
        <w:rPr>
          <w:rFonts w:ascii="Arial" w:eastAsia="Arial" w:hAnsi="Arial" w:cs="Arial"/>
          <w:color w:val="000000"/>
          <w:kern w:val="0"/>
          <w14:ligatures w14:val="none"/>
        </w:rPr>
      </w:pPr>
      <w:r>
        <w:rPr>
          <w:rFonts w:ascii="Arial" w:hAnsi="Arial"/>
          <w:color w:val="000000"/>
        </w:rPr>
        <w:t>supervising the execution of specific procedures, and</w:t>
      </w:r>
    </w:p>
    <w:p w14:paraId="6DFED051" w14:textId="77777777" w:rsidR="009D6F92" w:rsidRPr="003A3441" w:rsidRDefault="009D6F92" w:rsidP="009D6F92">
      <w:pPr>
        <w:numPr>
          <w:ilvl w:val="0"/>
          <w:numId w:val="4"/>
        </w:numPr>
        <w:pBdr>
          <w:top w:val="nil"/>
          <w:left w:val="nil"/>
          <w:bottom w:val="nil"/>
          <w:right w:val="nil"/>
          <w:between w:val="nil"/>
        </w:pBdr>
        <w:spacing w:after="0" w:line="240" w:lineRule="auto"/>
        <w:ind w:left="426" w:hanging="426"/>
        <w:rPr>
          <w:rFonts w:ascii="Arial" w:eastAsia="Arial" w:hAnsi="Arial" w:cs="Arial"/>
          <w:color w:val="000000"/>
          <w:kern w:val="0"/>
          <w14:ligatures w14:val="none"/>
        </w:rPr>
      </w:pPr>
      <w:r w:rsidRPr="190E1189">
        <w:rPr>
          <w:rFonts w:ascii="Arial" w:hAnsi="Arial"/>
          <w:color w:val="000000" w:themeColor="text1"/>
        </w:rPr>
        <w:t>conducting joint inspections, where deemed appropriate.</w:t>
      </w:r>
    </w:p>
    <w:p w14:paraId="638AB1C1"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lang w:val="en-US" w:eastAsia="zh-CN"/>
          <w14:ligatures w14:val="none"/>
        </w:rPr>
      </w:pPr>
    </w:p>
    <w:p w14:paraId="5AD21C8B" w14:textId="77777777" w:rsidR="009D6F92"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Pr>
          <w:rFonts w:ascii="Arial" w:hAnsi="Arial"/>
          <w:color w:val="000000"/>
        </w:rPr>
        <w:t xml:space="preserve">For mutual safety, the representative of the delivering vessel and an officer from the receiving vessel must conduct rechecks before and during the bringing on board of additives. Such inspections should be carried out on both vessels to ensure that all obligations accepted in the checklist are effectively met. </w:t>
      </w:r>
    </w:p>
    <w:p w14:paraId="499DDBC2" w14:textId="77777777" w:rsidR="009D6F92" w:rsidRPr="008B0F8F"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Pr>
          <w:rFonts w:ascii="Arial" w:hAnsi="Arial"/>
          <w:color w:val="000000"/>
        </w:rPr>
        <w:t>The checklist for bringing on board of additives includes the following sections:</w:t>
      </w:r>
    </w:p>
    <w:p w14:paraId="48048475" w14:textId="77777777" w:rsidR="009D6F92" w:rsidRPr="008F5B39" w:rsidRDefault="009D6F92" w:rsidP="009D6F92">
      <w:pPr>
        <w:pBdr>
          <w:top w:val="nil"/>
          <w:left w:val="nil"/>
          <w:bottom w:val="nil"/>
          <w:right w:val="nil"/>
          <w:between w:val="nil"/>
        </w:pBdr>
        <w:tabs>
          <w:tab w:val="left" w:pos="426"/>
        </w:tabs>
        <w:spacing w:after="0" w:line="240" w:lineRule="auto"/>
        <w:rPr>
          <w:rFonts w:ascii="Arial" w:eastAsia="Calibri" w:hAnsi="Arial" w:cs="Arial"/>
          <w:color w:val="000000"/>
          <w:kern w:val="0"/>
          <w14:ligatures w14:val="none"/>
        </w:rPr>
      </w:pPr>
      <w:r>
        <w:rPr>
          <w:rFonts w:ascii="Arial" w:hAnsi="Arial"/>
          <w:b/>
          <w:color w:val="000000"/>
        </w:rPr>
        <w:t xml:space="preserve">1. </w:t>
      </w:r>
      <w:r>
        <w:rPr>
          <w:rFonts w:ascii="Arial" w:hAnsi="Arial"/>
          <w:b/>
          <w:color w:val="000000"/>
        </w:rPr>
        <w:tab/>
        <w:t>Additives to be transferred</w:t>
      </w:r>
    </w:p>
    <w:p w14:paraId="705A5451" w14:textId="77777777" w:rsidR="009D6F92" w:rsidRPr="008F5B39"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Pr>
          <w:rFonts w:ascii="Arial" w:hAnsi="Arial"/>
          <w:color w:val="000000"/>
        </w:rPr>
        <w:t>A mutual agreement must be reached on the quantity and quality of the additives to be transferred, the agreed transfer rate and the maximum allowable back pressure in the pipeline.</w:t>
      </w:r>
    </w:p>
    <w:p w14:paraId="5461A322" w14:textId="77777777" w:rsidR="009D6F92" w:rsidRPr="008F5B39" w:rsidRDefault="009D6F92" w:rsidP="009D6F92">
      <w:pPr>
        <w:pBdr>
          <w:top w:val="nil"/>
          <w:left w:val="nil"/>
          <w:bottom w:val="nil"/>
          <w:right w:val="nil"/>
          <w:between w:val="nil"/>
        </w:pBdr>
        <w:tabs>
          <w:tab w:val="left" w:pos="426"/>
        </w:tabs>
        <w:spacing w:after="0" w:line="240" w:lineRule="auto"/>
        <w:rPr>
          <w:rFonts w:ascii="Arial" w:eastAsia="Calibri" w:hAnsi="Arial" w:cs="Arial"/>
          <w:color w:val="000000"/>
          <w:kern w:val="0"/>
          <w14:ligatures w14:val="none"/>
        </w:rPr>
      </w:pPr>
      <w:r>
        <w:rPr>
          <w:rFonts w:ascii="Arial" w:hAnsi="Arial"/>
          <w:b/>
          <w:color w:val="000000"/>
        </w:rPr>
        <w:t xml:space="preserve">2. </w:t>
      </w:r>
      <w:r>
        <w:rPr>
          <w:rFonts w:ascii="Arial" w:hAnsi="Arial"/>
          <w:b/>
          <w:color w:val="000000"/>
        </w:rPr>
        <w:tab/>
        <w:t>Tanks to be loaded with additives</w:t>
      </w:r>
    </w:p>
    <w:p w14:paraId="40BC24FF" w14:textId="77777777" w:rsidR="009D6F92" w:rsidRPr="008F5B39"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t>Identification of the tanks to be loaded to ensure sufficient capacity for safe storage of the transferred additives. Space is provided to record the maximum filling capacity and available volume of each tank.</w:t>
      </w:r>
    </w:p>
    <w:p w14:paraId="0CE415B8" w14:textId="77777777" w:rsidR="009D6F92" w:rsidRPr="008F5B39" w:rsidRDefault="009D6F92" w:rsidP="009D6F92">
      <w:pPr>
        <w:pBdr>
          <w:top w:val="nil"/>
          <w:left w:val="nil"/>
          <w:bottom w:val="nil"/>
          <w:right w:val="nil"/>
          <w:between w:val="nil"/>
        </w:pBdr>
        <w:tabs>
          <w:tab w:val="left" w:pos="426"/>
        </w:tabs>
        <w:spacing w:after="0" w:line="240" w:lineRule="auto"/>
        <w:rPr>
          <w:rFonts w:ascii="Arial" w:eastAsia="Calibri" w:hAnsi="Arial" w:cs="Arial"/>
          <w:color w:val="000000"/>
          <w:kern w:val="0"/>
          <w14:ligatures w14:val="none"/>
        </w:rPr>
      </w:pPr>
      <w:r>
        <w:rPr>
          <w:rFonts w:ascii="Arial" w:hAnsi="Arial"/>
          <w:b/>
          <w:color w:val="000000"/>
        </w:rPr>
        <w:t xml:space="preserve">3. </w:t>
      </w:r>
      <w:r>
        <w:rPr>
          <w:rFonts w:ascii="Arial" w:hAnsi="Arial"/>
          <w:b/>
          <w:color w:val="000000"/>
        </w:rPr>
        <w:tab/>
        <w:t>Pre-berthing checklist for the delivering vessel</w:t>
      </w:r>
    </w:p>
    <w:p w14:paraId="2521E779" w14:textId="77777777" w:rsidR="009D6F92" w:rsidRPr="008F5B39"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t>This section outlines the checks required before the delivering vessel comes alongside the receiving vessel.</w:t>
      </w:r>
    </w:p>
    <w:p w14:paraId="20B9C634" w14:textId="77777777" w:rsidR="009D6F92" w:rsidRPr="008F5B39" w:rsidRDefault="009D6F92" w:rsidP="009D6F92">
      <w:pPr>
        <w:pBdr>
          <w:top w:val="nil"/>
          <w:left w:val="nil"/>
          <w:bottom w:val="nil"/>
          <w:right w:val="nil"/>
          <w:between w:val="nil"/>
        </w:pBdr>
        <w:tabs>
          <w:tab w:val="left" w:pos="426"/>
        </w:tabs>
        <w:spacing w:after="0" w:line="240" w:lineRule="auto"/>
        <w:rPr>
          <w:rFonts w:ascii="Arial" w:eastAsia="Calibri" w:hAnsi="Arial" w:cs="Arial"/>
          <w:b/>
          <w:color w:val="000000"/>
          <w:kern w:val="0"/>
          <w14:ligatures w14:val="none"/>
        </w:rPr>
      </w:pPr>
      <w:r>
        <w:rPr>
          <w:rFonts w:ascii="Arial" w:hAnsi="Arial"/>
          <w:b/>
          <w:color w:val="000000"/>
        </w:rPr>
        <w:t xml:space="preserve">4. </w:t>
      </w:r>
      <w:r>
        <w:rPr>
          <w:rFonts w:ascii="Arial" w:hAnsi="Arial"/>
          <w:b/>
          <w:color w:val="000000"/>
        </w:rPr>
        <w:tab/>
        <w:t>Pre-transfer checklist</w:t>
      </w:r>
    </w:p>
    <w:p w14:paraId="11F58A0B" w14:textId="77777777" w:rsidR="009D6F92" w:rsidRPr="008F5B39"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t xml:space="preserve">This section details the joint checks that must be completed before initiating the transfer of the additive. </w:t>
      </w:r>
    </w:p>
    <w:p w14:paraId="13BD709C" w14:textId="77777777" w:rsidR="009D6F92"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Pr>
          <w:rFonts w:ascii="Arial" w:hAnsi="Arial"/>
          <w:color w:val="000000"/>
        </w:rPr>
        <w:lastRenderedPageBreak/>
        <w:t xml:space="preserve">For safe operations, all relevant statements must be considered, and the corresponding responsibilities and liabilities for compliance must be accepted. </w:t>
      </w:r>
    </w:p>
    <w:p w14:paraId="6595D561" w14:textId="77777777" w:rsidR="009D6F92" w:rsidRDefault="009D6F92" w:rsidP="009D6F92">
      <w:pPr>
        <w:pBdr>
          <w:top w:val="nil"/>
          <w:left w:val="nil"/>
          <w:bottom w:val="nil"/>
          <w:right w:val="nil"/>
          <w:between w:val="nil"/>
        </w:pBdr>
        <w:spacing w:after="0" w:line="240" w:lineRule="auto"/>
      </w:pPr>
    </w:p>
    <w:p w14:paraId="4027D9BB" w14:textId="77777777" w:rsidR="009D6F92" w:rsidRPr="00CE403E"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t>If any applicable questions cannot be answered with ‘YES’, this must be reported to the Director of the Central Nautical Management North Sea Canal Area. Telephone: +31 (0)20 5234600, Option 2 or the designated VHF channel. In such cases, the bringing on board of additives between the vessels is only permitted with the approval of the Director of the Central Nautical Management North Sea Canal Area.</w:t>
      </w:r>
    </w:p>
    <w:p w14:paraId="53D8BF90"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lang w:val="en-US" w:eastAsia="zh-CN"/>
          <w14:ligatures w14:val="none"/>
        </w:rPr>
      </w:pPr>
    </w:p>
    <w:p w14:paraId="3D39CEFB" w14:textId="77777777" w:rsidR="009D6F92" w:rsidRPr="00CE403E"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t>If a checklist item is deemed not applicable to the vessel, the delivering vessel, or the intended transfer, this must be noted in the ‘Remarks’ column.</w:t>
      </w:r>
    </w:p>
    <w:p w14:paraId="6DC63A96"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lang w:val="en-US" w:eastAsia="zh-CN"/>
          <w14:ligatures w14:val="none"/>
        </w:rPr>
      </w:pPr>
    </w:p>
    <w:p w14:paraId="68C290AA" w14:textId="77777777" w:rsidR="009D6F92" w:rsidRPr="00CE403E" w:rsidRDefault="009D6F92" w:rsidP="009D6F92">
      <w:pPr>
        <w:pBdr>
          <w:top w:val="nil"/>
          <w:left w:val="nil"/>
          <w:bottom w:val="nil"/>
          <w:right w:val="nil"/>
          <w:between w:val="nil"/>
        </w:pBdr>
        <w:spacing w:after="0" w:line="240" w:lineRule="auto"/>
        <w:rPr>
          <w:rFonts w:ascii="Arial" w:eastAsia="Calibri" w:hAnsi="Arial" w:cs="Arial"/>
          <w:color w:val="000000"/>
          <w:kern w:val="0"/>
          <w14:ligatures w14:val="none"/>
        </w:rPr>
      </w:pPr>
      <w:r w:rsidRPr="190E1189">
        <w:rPr>
          <w:rFonts w:ascii="Arial" w:hAnsi="Arial"/>
          <w:color w:val="000000" w:themeColor="text1"/>
        </w:rPr>
        <w:t>The presence of the letters ‘A’ or ‘R’ in the Code column indicates the following:</w:t>
      </w:r>
    </w:p>
    <w:p w14:paraId="0B34B37C" w14:textId="77777777" w:rsidR="009D6F92" w:rsidRPr="00CE403E" w:rsidRDefault="009D6F92" w:rsidP="009D6F92">
      <w:pPr>
        <w:pBdr>
          <w:top w:val="nil"/>
          <w:left w:val="nil"/>
          <w:bottom w:val="nil"/>
          <w:right w:val="nil"/>
          <w:between w:val="nil"/>
        </w:pBdr>
        <w:spacing w:after="0" w:line="240" w:lineRule="auto"/>
        <w:ind w:left="705" w:hanging="705"/>
        <w:rPr>
          <w:rFonts w:ascii="Arial" w:eastAsia="Calibri" w:hAnsi="Arial" w:cs="Arial"/>
          <w:color w:val="000000"/>
          <w:kern w:val="0"/>
          <w14:ligatures w14:val="none"/>
        </w:rPr>
      </w:pPr>
      <w:r>
        <w:rPr>
          <w:rFonts w:ascii="Arial" w:hAnsi="Arial"/>
          <w:b/>
          <w:color w:val="000000"/>
          <w:sz w:val="20"/>
        </w:rPr>
        <w:t>A</w:t>
      </w:r>
      <w:r>
        <w:rPr>
          <w:rFonts w:ascii="Arial" w:hAnsi="Arial"/>
          <w:b/>
          <w:color w:val="000000"/>
          <w:sz w:val="20"/>
        </w:rPr>
        <w:tab/>
      </w:r>
      <w:r>
        <w:rPr>
          <w:rFonts w:ascii="Arial" w:hAnsi="Arial"/>
          <w:color w:val="000000"/>
        </w:rPr>
        <w:t>(‘Agreement’). This signifies an agreement or procedure that must be recorded in the checklist or communicated in another mutually acceptable format.</w:t>
      </w:r>
    </w:p>
    <w:p w14:paraId="7FD65AD5" w14:textId="77777777" w:rsidR="009D6F92" w:rsidRPr="00CE403E" w:rsidRDefault="009D6F92" w:rsidP="009D6F92">
      <w:pPr>
        <w:pBdr>
          <w:top w:val="nil"/>
          <w:left w:val="nil"/>
          <w:bottom w:val="nil"/>
          <w:right w:val="nil"/>
          <w:between w:val="nil"/>
        </w:pBdr>
        <w:spacing w:after="0" w:line="240" w:lineRule="auto"/>
        <w:ind w:left="705" w:hanging="705"/>
        <w:rPr>
          <w:rFonts w:ascii="Arial" w:eastAsia="Calibri" w:hAnsi="Arial" w:cs="Arial"/>
          <w:color w:val="000000"/>
          <w:kern w:val="0"/>
          <w14:ligatures w14:val="none"/>
        </w:rPr>
      </w:pPr>
      <w:r w:rsidRPr="190E1189">
        <w:rPr>
          <w:rFonts w:ascii="Arial" w:hAnsi="Arial"/>
          <w:b/>
          <w:color w:val="000000" w:themeColor="text1"/>
          <w:sz w:val="20"/>
          <w:szCs w:val="20"/>
        </w:rPr>
        <w:t>R</w:t>
      </w:r>
      <w:r>
        <w:tab/>
      </w:r>
      <w:r w:rsidRPr="190E1189">
        <w:rPr>
          <w:rFonts w:ascii="Arial" w:hAnsi="Arial"/>
          <w:color w:val="000000" w:themeColor="text1"/>
        </w:rPr>
        <w:t>(‘Recheck’). This signifies items that must be rechecked at appropriate intervals, as agreed between both parties and specified in the declaration.</w:t>
      </w:r>
    </w:p>
    <w:p w14:paraId="5D67A5D2" w14:textId="77777777" w:rsidR="009D6F92" w:rsidRPr="00CE403E" w:rsidRDefault="009D6F92" w:rsidP="009D6F92">
      <w:pPr>
        <w:pBdr>
          <w:top w:val="nil"/>
          <w:left w:val="nil"/>
          <w:bottom w:val="nil"/>
          <w:right w:val="nil"/>
          <w:between w:val="nil"/>
        </w:pBdr>
        <w:spacing w:after="0" w:line="240" w:lineRule="auto"/>
        <w:ind w:left="705"/>
        <w:rPr>
          <w:rFonts w:ascii="Arial" w:eastAsia="Calibri" w:hAnsi="Arial" w:cs="Arial"/>
          <w:color w:val="000000"/>
          <w:kern w:val="0"/>
          <w14:ligatures w14:val="none"/>
        </w:rPr>
      </w:pPr>
      <w:r>
        <w:rPr>
          <w:rFonts w:ascii="Arial" w:hAnsi="Arial"/>
          <w:color w:val="000000"/>
        </w:rPr>
        <w:t>The joint declaration may only be signed once all parties have verified and accepted their assigned responsibilities.</w:t>
      </w:r>
    </w:p>
    <w:p w14:paraId="6C5160A6"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lang w:val="en-US" w:eastAsia="zh-CN"/>
          <w14:ligatures w14:val="none"/>
        </w:rPr>
      </w:pPr>
    </w:p>
    <w:p w14:paraId="08F5A7B6" w14:textId="77777777" w:rsidR="009D6F92" w:rsidRPr="00CE403E" w:rsidRDefault="009D6F92" w:rsidP="009D6F92">
      <w:pPr>
        <w:pBdr>
          <w:top w:val="nil"/>
          <w:left w:val="nil"/>
          <w:bottom w:val="nil"/>
          <w:right w:val="nil"/>
          <w:between w:val="nil"/>
        </w:pBdr>
        <w:spacing w:after="0" w:line="240" w:lineRule="auto"/>
        <w:ind w:left="-142" w:firstLine="708"/>
        <w:jc w:val="center"/>
        <w:rPr>
          <w:rFonts w:ascii="Arial" w:eastAsia="Calibri" w:hAnsi="Arial" w:cs="Arial"/>
          <w:b/>
          <w:bCs/>
          <w:color w:val="000000"/>
          <w:kern w:val="0"/>
          <w14:ligatures w14:val="none"/>
        </w:rPr>
      </w:pPr>
      <w:r>
        <w:rPr>
          <w:rFonts w:ascii="Arial" w:hAnsi="Arial"/>
          <w:b/>
          <w:color w:val="000000"/>
        </w:rPr>
        <w:t>Checklist for the bringing on board of additives</w:t>
      </w:r>
    </w:p>
    <w:p w14:paraId="532F97B4" w14:textId="77777777" w:rsidR="009D6F92" w:rsidRPr="00853324" w:rsidRDefault="009D6F92" w:rsidP="009D6F92">
      <w:pPr>
        <w:pBdr>
          <w:top w:val="nil"/>
          <w:left w:val="nil"/>
          <w:bottom w:val="nil"/>
          <w:right w:val="nil"/>
          <w:between w:val="nil"/>
        </w:pBdr>
        <w:spacing w:after="0" w:line="240" w:lineRule="auto"/>
        <w:ind w:left="-142" w:firstLine="708"/>
        <w:rPr>
          <w:rFonts w:ascii="Arial" w:eastAsia="Calibri" w:hAnsi="Arial" w:cs="Arial"/>
          <w:b/>
          <w:bCs/>
          <w:color w:val="000000"/>
          <w:kern w:val="0"/>
          <w:lang w:val="en-US" w:eastAsia="zh-CN"/>
          <w14:ligatures w14:val="none"/>
        </w:rPr>
      </w:pPr>
    </w:p>
    <w:p w14:paraId="63DBC322" w14:textId="77777777" w:rsidR="009D6F92" w:rsidRPr="00CE403E" w:rsidRDefault="009D6F92" w:rsidP="009D6F92">
      <w:pPr>
        <w:pBdr>
          <w:top w:val="nil"/>
          <w:left w:val="nil"/>
          <w:bottom w:val="nil"/>
          <w:right w:val="nil"/>
          <w:between w:val="nil"/>
        </w:pBdr>
        <w:spacing w:after="0" w:line="240" w:lineRule="auto"/>
        <w:ind w:left="-142" w:firstLine="708"/>
        <w:rPr>
          <w:rFonts w:ascii="Arial" w:eastAsia="Calibri" w:hAnsi="Arial" w:cs="Arial"/>
          <w:color w:val="000000"/>
          <w:kern w:val="0"/>
          <w14:ligatures w14:val="none"/>
        </w:rPr>
      </w:pPr>
      <w:r>
        <w:rPr>
          <w:rFonts w:ascii="Arial" w:hAnsi="Arial"/>
          <w:color w:val="000000"/>
        </w:rPr>
        <w:t>Berth</w:t>
      </w:r>
      <w:r>
        <w:rPr>
          <w:rFonts w:ascii="Arial" w:hAnsi="Arial"/>
          <w:color w:val="000000"/>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rPr>
        <w:tab/>
        <w:t>Date</w:t>
      </w:r>
      <w:r>
        <w:rPr>
          <w:rFonts w:ascii="Arial" w:hAnsi="Arial"/>
          <w:color w:val="000000"/>
        </w:rPr>
        <w:tab/>
      </w:r>
      <w:r>
        <w:rPr>
          <w:rFonts w:ascii="Arial" w:hAnsi="Arial"/>
          <w:color w:val="000000"/>
          <w:u w:val="single"/>
        </w:rPr>
        <w:tab/>
      </w:r>
      <w:r>
        <w:rPr>
          <w:rFonts w:ascii="Arial" w:hAnsi="Arial"/>
          <w:color w:val="000000"/>
          <w:u w:val="single"/>
        </w:rPr>
        <w:tab/>
      </w:r>
      <w:r>
        <w:rPr>
          <w:rFonts w:ascii="Arial" w:hAnsi="Arial"/>
          <w:color w:val="000000"/>
          <w:u w:val="single"/>
        </w:rPr>
        <w:tab/>
      </w:r>
    </w:p>
    <w:p w14:paraId="00D9DB07" w14:textId="77777777" w:rsidR="009D6F92" w:rsidRPr="00853324" w:rsidRDefault="009D6F92" w:rsidP="009D6F92">
      <w:pPr>
        <w:pBdr>
          <w:top w:val="nil"/>
          <w:left w:val="nil"/>
          <w:bottom w:val="nil"/>
          <w:right w:val="nil"/>
          <w:between w:val="nil"/>
        </w:pBdr>
        <w:spacing w:after="0" w:line="240" w:lineRule="auto"/>
        <w:ind w:left="-142"/>
        <w:rPr>
          <w:rFonts w:ascii="Arial" w:eastAsia="Calibri" w:hAnsi="Arial" w:cs="Arial"/>
          <w:color w:val="000000"/>
          <w:kern w:val="0"/>
          <w:lang w:val="en-US" w:eastAsia="zh-CN"/>
          <w14:ligatures w14:val="none"/>
        </w:rPr>
      </w:pPr>
    </w:p>
    <w:p w14:paraId="40B44FB1" w14:textId="77777777" w:rsidR="009D6F92" w:rsidRPr="00CE403E" w:rsidRDefault="009D6F92" w:rsidP="009D6F92">
      <w:pPr>
        <w:pBdr>
          <w:top w:val="nil"/>
          <w:left w:val="nil"/>
          <w:bottom w:val="nil"/>
          <w:right w:val="nil"/>
          <w:between w:val="nil"/>
        </w:pBdr>
        <w:spacing w:after="0" w:line="240" w:lineRule="auto"/>
        <w:ind w:left="-142" w:firstLine="708"/>
        <w:rPr>
          <w:rFonts w:ascii="Arial" w:eastAsia="Calibri" w:hAnsi="Arial" w:cs="Arial"/>
          <w:color w:val="000000"/>
          <w:kern w:val="0"/>
          <w14:ligatures w14:val="none"/>
        </w:rPr>
      </w:pPr>
      <w:r>
        <w:rPr>
          <w:rFonts w:ascii="Arial" w:hAnsi="Arial"/>
          <w:color w:val="000000"/>
        </w:rPr>
        <w:t>Receiving vessel</w:t>
      </w:r>
      <w:r>
        <w:rPr>
          <w:rFonts w:ascii="Arial" w:hAnsi="Arial"/>
          <w:color w:val="000000"/>
          <w:u w:val="single"/>
        </w:rPr>
        <w:tab/>
      </w:r>
      <w:r>
        <w:rPr>
          <w:rFonts w:ascii="Arial" w:hAnsi="Arial"/>
          <w:color w:val="000000"/>
          <w:u w:val="single"/>
        </w:rPr>
        <w:tab/>
        <w:t xml:space="preserve">       </w:t>
      </w:r>
      <w:r>
        <w:rPr>
          <w:rFonts w:ascii="Arial" w:hAnsi="Arial"/>
          <w:color w:val="000000"/>
          <w:u w:val="single"/>
        </w:rPr>
        <w:tab/>
      </w:r>
      <w:r>
        <w:rPr>
          <w:rFonts w:ascii="Arial" w:hAnsi="Arial"/>
          <w:color w:val="000000"/>
        </w:rPr>
        <w:tab/>
        <w:t>Delivering vessel</w:t>
      </w:r>
      <w:r>
        <w:rPr>
          <w:rFonts w:ascii="Arial" w:hAnsi="Arial"/>
          <w:color w:val="000000"/>
          <w:u w:val="single"/>
        </w:rPr>
        <w:tab/>
      </w:r>
      <w:r>
        <w:rPr>
          <w:rFonts w:ascii="Arial" w:hAnsi="Arial"/>
          <w:color w:val="000000"/>
          <w:u w:val="single"/>
        </w:rPr>
        <w:tab/>
      </w:r>
      <w:r>
        <w:rPr>
          <w:rFonts w:ascii="Arial" w:hAnsi="Arial"/>
          <w:color w:val="000000"/>
          <w:u w:val="single"/>
        </w:rPr>
        <w:tab/>
      </w:r>
    </w:p>
    <w:p w14:paraId="60622353" w14:textId="77777777" w:rsidR="009D6F92" w:rsidRPr="00CE403E" w:rsidRDefault="009D6F92" w:rsidP="009D6F92">
      <w:pPr>
        <w:pBdr>
          <w:top w:val="nil"/>
          <w:left w:val="nil"/>
          <w:bottom w:val="nil"/>
          <w:right w:val="nil"/>
          <w:between w:val="nil"/>
        </w:pBdr>
        <w:spacing w:after="0" w:line="240" w:lineRule="auto"/>
        <w:ind w:left="-142"/>
        <w:rPr>
          <w:rFonts w:ascii="Arial" w:eastAsia="Calibri" w:hAnsi="Arial" w:cs="Arial"/>
          <w:color w:val="000000"/>
          <w:kern w:val="0"/>
          <w14:ligatures w14:val="none"/>
        </w:rPr>
      </w:pPr>
      <w:r>
        <w:rPr>
          <w:rFonts w:ascii="Arial" w:hAnsi="Arial"/>
          <w:color w:val="000000"/>
        </w:rPr>
        <w:t xml:space="preserve">   </w:t>
      </w:r>
    </w:p>
    <w:p w14:paraId="2FF20D48" w14:textId="77777777" w:rsidR="009D6F92" w:rsidRPr="00CE403E" w:rsidRDefault="009D6F92" w:rsidP="009D6F92">
      <w:pPr>
        <w:pBdr>
          <w:top w:val="nil"/>
          <w:left w:val="nil"/>
          <w:bottom w:val="nil"/>
          <w:right w:val="nil"/>
          <w:between w:val="nil"/>
        </w:pBdr>
        <w:spacing w:after="0" w:line="240" w:lineRule="auto"/>
        <w:ind w:left="-142" w:firstLine="708"/>
        <w:rPr>
          <w:rFonts w:ascii="Arial" w:eastAsia="Calibri" w:hAnsi="Arial" w:cs="Arial"/>
          <w:color w:val="000000"/>
          <w:kern w:val="0"/>
          <w:u w:val="single"/>
          <w14:ligatures w14:val="none"/>
        </w:rPr>
      </w:pPr>
      <w:r>
        <w:rPr>
          <w:rFonts w:ascii="Arial" w:hAnsi="Arial"/>
          <w:color w:val="000000"/>
        </w:rPr>
        <w:t>Master</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rPr>
        <w:tab/>
      </w:r>
      <w:r>
        <w:rPr>
          <w:rFonts w:ascii="Arial" w:hAnsi="Arial"/>
          <w:color w:val="000000"/>
        </w:rPr>
        <w:tab/>
      </w:r>
      <w:proofErr w:type="spellStart"/>
      <w:r>
        <w:rPr>
          <w:rFonts w:ascii="Arial" w:hAnsi="Arial"/>
          <w:color w:val="000000"/>
        </w:rPr>
        <w:t>Master</w:t>
      </w:r>
      <w:proofErr w:type="spellEnd"/>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p>
    <w:p w14:paraId="2F00088A" w14:textId="77777777" w:rsidR="009D6F92" w:rsidRDefault="009D6F92" w:rsidP="009D6F92">
      <w:pPr>
        <w:pBdr>
          <w:top w:val="nil"/>
          <w:left w:val="nil"/>
          <w:bottom w:val="nil"/>
          <w:right w:val="nil"/>
          <w:between w:val="nil"/>
        </w:pBdr>
        <w:spacing w:after="0" w:line="240" w:lineRule="auto"/>
        <w:rPr>
          <w:rFonts w:ascii="Arial" w:hAnsi="Arial"/>
          <w:b/>
          <w:color w:val="000000"/>
          <w:u w:val="single"/>
        </w:rPr>
      </w:pPr>
    </w:p>
    <w:p w14:paraId="2F546B54" w14:textId="77777777" w:rsidR="009D6F92" w:rsidRDefault="009D6F92" w:rsidP="009D6F92">
      <w:pPr>
        <w:pBdr>
          <w:top w:val="nil"/>
          <w:left w:val="nil"/>
          <w:bottom w:val="nil"/>
          <w:right w:val="nil"/>
          <w:between w:val="nil"/>
        </w:pBdr>
        <w:spacing w:after="0" w:line="240" w:lineRule="auto"/>
        <w:rPr>
          <w:rFonts w:ascii="Arial" w:eastAsia="Calibri" w:hAnsi="Arial" w:cs="Arial"/>
          <w:b/>
          <w:color w:val="000000"/>
          <w:kern w:val="0"/>
          <w:u w:val="single"/>
          <w14:ligatures w14:val="none"/>
        </w:rPr>
      </w:pPr>
      <w:r w:rsidRPr="190E1189">
        <w:rPr>
          <w:rFonts w:ascii="Arial" w:hAnsi="Arial"/>
          <w:b/>
          <w:color w:val="000000" w:themeColor="text1"/>
          <w:u w:val="single"/>
        </w:rPr>
        <w:t>Prior to initiating the transfer of additives onboard, this must be reported to the Port Office via VHF Channel 14 or by telephone at: +31 20 5234 600 Option 2.</w:t>
      </w:r>
    </w:p>
    <w:p w14:paraId="54A63D25"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b/>
          <w:color w:val="000000"/>
          <w:kern w:val="0"/>
          <w:u w:val="single"/>
          <w:lang w:val="en-US" w:eastAsia="zh-CN"/>
          <w14:ligatures w14:val="none"/>
        </w:rPr>
      </w:pPr>
    </w:p>
    <w:p w14:paraId="0884A729" w14:textId="77777777" w:rsidR="009D6F92" w:rsidRPr="007C7102" w:rsidRDefault="009D6F92" w:rsidP="009D6F92">
      <w:pPr>
        <w:numPr>
          <w:ilvl w:val="0"/>
          <w:numId w:val="1"/>
        </w:numPr>
        <w:pBdr>
          <w:top w:val="nil"/>
          <w:left w:val="nil"/>
          <w:bottom w:val="nil"/>
          <w:right w:val="nil"/>
          <w:between w:val="nil"/>
        </w:pBdr>
        <w:spacing w:after="0" w:line="240" w:lineRule="auto"/>
        <w:ind w:left="567" w:hanging="567"/>
        <w:rPr>
          <w:rFonts w:ascii="Arial" w:eastAsia="Calibri" w:hAnsi="Arial" w:cs="Arial"/>
          <w:color w:val="000000"/>
          <w:kern w:val="0"/>
          <w:sz w:val="20"/>
          <w:szCs w:val="20"/>
          <w14:ligatures w14:val="none"/>
        </w:rPr>
      </w:pPr>
      <w:r>
        <w:rPr>
          <w:rFonts w:ascii="Arial" w:hAnsi="Arial"/>
          <w:b/>
          <w:color w:val="000000"/>
          <w:sz w:val="20"/>
        </w:rPr>
        <w:t>Additive(s) to be transferred</w:t>
      </w:r>
    </w:p>
    <w:tbl>
      <w:tblPr>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0"/>
        <w:gridCol w:w="1612"/>
        <w:gridCol w:w="1416"/>
        <w:gridCol w:w="1514"/>
        <w:gridCol w:w="1514"/>
        <w:gridCol w:w="1515"/>
      </w:tblGrid>
      <w:tr w:rsidR="009D6F92" w:rsidRPr="007C7102" w14:paraId="5E0FFFDA" w14:textId="77777777" w:rsidTr="007D0589">
        <w:tc>
          <w:tcPr>
            <w:tcW w:w="2460" w:type="dxa"/>
          </w:tcPr>
          <w:p w14:paraId="640D86E4"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p w14:paraId="75FCBF1A"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u w:val="single"/>
              </w:rPr>
              <w:t xml:space="preserve">Additive type: </w:t>
            </w:r>
          </w:p>
        </w:tc>
        <w:tc>
          <w:tcPr>
            <w:tcW w:w="1612" w:type="dxa"/>
          </w:tcPr>
          <w:p w14:paraId="7C3C4652"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u w:val="single"/>
              </w:rPr>
              <w:t>Volume at actual temperature °C</w:t>
            </w:r>
          </w:p>
        </w:tc>
        <w:tc>
          <w:tcPr>
            <w:tcW w:w="1416" w:type="dxa"/>
          </w:tcPr>
          <w:p w14:paraId="2F62BDFD"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u w:val="single"/>
              </w:rPr>
              <w:t>Actual</w:t>
            </w:r>
          </w:p>
          <w:p w14:paraId="7A1F52AC"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u w:val="single"/>
              </w:rPr>
              <w:t>Temperature</w:t>
            </w:r>
          </w:p>
          <w:p w14:paraId="1EB3806E"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u w:val="single"/>
              </w:rPr>
              <w:t>°C</w:t>
            </w:r>
          </w:p>
        </w:tc>
        <w:tc>
          <w:tcPr>
            <w:tcW w:w="1514" w:type="dxa"/>
          </w:tcPr>
          <w:p w14:paraId="6752BDD2"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u w:val="single"/>
              </w:rPr>
              <w:t>Gross standard volume in litres</w:t>
            </w:r>
          </w:p>
        </w:tc>
        <w:tc>
          <w:tcPr>
            <w:tcW w:w="1514" w:type="dxa"/>
          </w:tcPr>
          <w:p w14:paraId="6C491487"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u w:val="single"/>
              </w:rPr>
              <w:t>Density in vacuum at 15 °C</w:t>
            </w:r>
          </w:p>
        </w:tc>
        <w:tc>
          <w:tcPr>
            <w:tcW w:w="1515" w:type="dxa"/>
          </w:tcPr>
          <w:p w14:paraId="4AA566D1"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u w:val="single"/>
              </w:rPr>
              <w:t>metric tonnes or</w:t>
            </w:r>
          </w:p>
          <w:p w14:paraId="46664FCB"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u w:val="single"/>
              </w:rPr>
              <w:t>kilograms</w:t>
            </w:r>
          </w:p>
        </w:tc>
      </w:tr>
      <w:tr w:rsidR="009D6F92" w:rsidRPr="007C7102" w14:paraId="40E66140" w14:textId="77777777" w:rsidTr="007D0589">
        <w:trPr>
          <w:trHeight w:val="483"/>
        </w:trPr>
        <w:tc>
          <w:tcPr>
            <w:tcW w:w="2460" w:type="dxa"/>
          </w:tcPr>
          <w:p w14:paraId="26D7379F"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612" w:type="dxa"/>
          </w:tcPr>
          <w:p w14:paraId="297D980B"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416" w:type="dxa"/>
          </w:tcPr>
          <w:p w14:paraId="523EAA33"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514" w:type="dxa"/>
          </w:tcPr>
          <w:p w14:paraId="491435F3"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514" w:type="dxa"/>
          </w:tcPr>
          <w:p w14:paraId="276699CC"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515" w:type="dxa"/>
          </w:tcPr>
          <w:p w14:paraId="2626FDE1"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r>
      <w:tr w:rsidR="009D6F92" w:rsidRPr="007C7102" w14:paraId="2FF9978B" w14:textId="77777777" w:rsidTr="007D0589">
        <w:trPr>
          <w:trHeight w:val="560"/>
        </w:trPr>
        <w:tc>
          <w:tcPr>
            <w:tcW w:w="2460" w:type="dxa"/>
          </w:tcPr>
          <w:p w14:paraId="612DBD26"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612" w:type="dxa"/>
          </w:tcPr>
          <w:p w14:paraId="32BE4009"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416" w:type="dxa"/>
          </w:tcPr>
          <w:p w14:paraId="47AB5BF5"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514" w:type="dxa"/>
          </w:tcPr>
          <w:p w14:paraId="13F392CF"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514" w:type="dxa"/>
          </w:tcPr>
          <w:p w14:paraId="0253C9A6"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515" w:type="dxa"/>
          </w:tcPr>
          <w:p w14:paraId="636B8C7E"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r>
    </w:tbl>
    <w:p w14:paraId="15376AD8" w14:textId="77777777" w:rsidR="009D6F92" w:rsidRPr="007C7102" w:rsidRDefault="009D6F92" w:rsidP="009D6F92">
      <w:pPr>
        <w:pBdr>
          <w:top w:val="nil"/>
          <w:left w:val="nil"/>
          <w:bottom w:val="nil"/>
          <w:right w:val="nil"/>
          <w:between w:val="nil"/>
        </w:pBdr>
        <w:spacing w:after="0" w:line="240" w:lineRule="auto"/>
        <w:ind w:left="567" w:hanging="567"/>
        <w:rPr>
          <w:rFonts w:ascii="Arial" w:eastAsia="Calibri" w:hAnsi="Arial" w:cs="Arial"/>
          <w:b/>
          <w:color w:val="000000"/>
          <w:kern w:val="0"/>
          <w:sz w:val="20"/>
          <w:szCs w:val="20"/>
          <w:lang w:val="nl" w:eastAsia="zh-CN"/>
          <w14:ligatures w14:val="none"/>
        </w:rPr>
      </w:pPr>
    </w:p>
    <w:p w14:paraId="0A0A8E8E" w14:textId="77777777" w:rsidR="009D6F92" w:rsidRPr="007C7102" w:rsidRDefault="009D6F92" w:rsidP="009D6F92">
      <w:pPr>
        <w:pBdr>
          <w:top w:val="nil"/>
          <w:left w:val="nil"/>
          <w:bottom w:val="nil"/>
          <w:right w:val="nil"/>
          <w:between w:val="nil"/>
        </w:pBdr>
        <w:spacing w:after="0" w:line="240" w:lineRule="auto"/>
        <w:ind w:left="567" w:hanging="567"/>
        <w:rPr>
          <w:rFonts w:ascii="Arial" w:eastAsia="Calibri" w:hAnsi="Arial" w:cs="Arial"/>
          <w:color w:val="000000"/>
          <w:kern w:val="0"/>
          <w:sz w:val="20"/>
          <w:szCs w:val="20"/>
          <w14:ligatures w14:val="none"/>
        </w:rPr>
      </w:pPr>
      <w:r>
        <w:rPr>
          <w:rFonts w:ascii="Arial" w:hAnsi="Arial"/>
          <w:b/>
          <w:color w:val="000000"/>
          <w:sz w:val="20"/>
        </w:rPr>
        <w:t>2.</w:t>
      </w:r>
      <w:r>
        <w:rPr>
          <w:rFonts w:ascii="Arial" w:hAnsi="Arial"/>
          <w:b/>
          <w:color w:val="000000"/>
          <w:sz w:val="20"/>
        </w:rPr>
        <w:tab/>
        <w:t>Tanks to be loaded on the receiving vessel</w:t>
      </w:r>
    </w:p>
    <w:tbl>
      <w:tblPr>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9"/>
        <w:gridCol w:w="1067"/>
        <w:gridCol w:w="1851"/>
        <w:gridCol w:w="2410"/>
        <w:gridCol w:w="1843"/>
        <w:gridCol w:w="1701"/>
      </w:tblGrid>
      <w:tr w:rsidR="009D6F92" w:rsidRPr="007C7102" w14:paraId="0F0D5BCC" w14:textId="77777777" w:rsidTr="007D0589">
        <w:tc>
          <w:tcPr>
            <w:tcW w:w="1159" w:type="dxa"/>
          </w:tcPr>
          <w:p w14:paraId="520B85E6"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b/>
                <w:color w:val="000000"/>
                <w:sz w:val="20"/>
              </w:rPr>
              <w:t>Tank no.</w:t>
            </w:r>
          </w:p>
        </w:tc>
        <w:tc>
          <w:tcPr>
            <w:tcW w:w="1067" w:type="dxa"/>
          </w:tcPr>
          <w:p w14:paraId="1F1C97C2"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b/>
                <w:color w:val="000000"/>
                <w:sz w:val="20"/>
              </w:rPr>
              <w:t>Reference no.</w:t>
            </w:r>
          </w:p>
        </w:tc>
        <w:tc>
          <w:tcPr>
            <w:tcW w:w="1851" w:type="dxa"/>
          </w:tcPr>
          <w:p w14:paraId="26F6A0BB"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b/>
                <w:color w:val="000000"/>
                <w:sz w:val="20"/>
              </w:rPr>
              <w:t>Tank volume at ………%</w:t>
            </w:r>
          </w:p>
        </w:tc>
        <w:tc>
          <w:tcPr>
            <w:tcW w:w="2410" w:type="dxa"/>
          </w:tcPr>
          <w:p w14:paraId="5E80E2B3"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b/>
                <w:color w:val="000000"/>
                <w:sz w:val="20"/>
              </w:rPr>
              <w:t>Available tank volume for loading</w:t>
            </w:r>
          </w:p>
        </w:tc>
        <w:tc>
          <w:tcPr>
            <w:tcW w:w="1843" w:type="dxa"/>
          </w:tcPr>
          <w:p w14:paraId="1185D2C8"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b/>
                <w:color w:val="000000"/>
                <w:sz w:val="20"/>
              </w:rPr>
              <w:t>Remaining tank volume after loading</w:t>
            </w:r>
          </w:p>
        </w:tc>
        <w:tc>
          <w:tcPr>
            <w:tcW w:w="1701" w:type="dxa"/>
          </w:tcPr>
          <w:p w14:paraId="55F40FC2"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b/>
                <w:color w:val="000000"/>
                <w:sz w:val="20"/>
              </w:rPr>
              <w:t xml:space="preserve">Quantity to be loaded in m³ </w:t>
            </w:r>
          </w:p>
        </w:tc>
      </w:tr>
      <w:tr w:rsidR="009D6F92" w:rsidRPr="007C7102" w14:paraId="135E8EDF" w14:textId="77777777" w:rsidTr="007D0589">
        <w:tc>
          <w:tcPr>
            <w:tcW w:w="1159" w:type="dxa"/>
          </w:tcPr>
          <w:p w14:paraId="0E875E2E"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067" w:type="dxa"/>
          </w:tcPr>
          <w:p w14:paraId="7A34BF9B"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851" w:type="dxa"/>
          </w:tcPr>
          <w:p w14:paraId="54A7A6A7"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410" w:type="dxa"/>
          </w:tcPr>
          <w:p w14:paraId="3EB12C8F"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843" w:type="dxa"/>
          </w:tcPr>
          <w:p w14:paraId="2E074643"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701" w:type="dxa"/>
          </w:tcPr>
          <w:p w14:paraId="681F49C9"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r w:rsidR="009D6F92" w:rsidRPr="007C7102" w14:paraId="55E0324B" w14:textId="77777777" w:rsidTr="007D0589">
        <w:tc>
          <w:tcPr>
            <w:tcW w:w="1159" w:type="dxa"/>
          </w:tcPr>
          <w:p w14:paraId="2D9BB53D"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067" w:type="dxa"/>
          </w:tcPr>
          <w:p w14:paraId="4984AFCA"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851" w:type="dxa"/>
          </w:tcPr>
          <w:p w14:paraId="0258AEEE"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410" w:type="dxa"/>
          </w:tcPr>
          <w:p w14:paraId="1F3B8C12"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843" w:type="dxa"/>
          </w:tcPr>
          <w:p w14:paraId="4A795D71"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701" w:type="dxa"/>
          </w:tcPr>
          <w:p w14:paraId="2D028CCC"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r w:rsidR="009D6F92" w:rsidRPr="007C7102" w14:paraId="4357DA90" w14:textId="77777777" w:rsidTr="007D0589">
        <w:tc>
          <w:tcPr>
            <w:tcW w:w="1159" w:type="dxa"/>
          </w:tcPr>
          <w:p w14:paraId="14F64C54"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067" w:type="dxa"/>
          </w:tcPr>
          <w:p w14:paraId="47DAE744"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851" w:type="dxa"/>
          </w:tcPr>
          <w:p w14:paraId="33E6F0BF"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410" w:type="dxa"/>
          </w:tcPr>
          <w:p w14:paraId="3DAEAF72"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843" w:type="dxa"/>
          </w:tcPr>
          <w:p w14:paraId="718D7D01"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701" w:type="dxa"/>
          </w:tcPr>
          <w:p w14:paraId="5C019256"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r w:rsidR="009D6F92" w:rsidRPr="007C7102" w14:paraId="19FE9D23" w14:textId="77777777" w:rsidTr="007D0589">
        <w:tc>
          <w:tcPr>
            <w:tcW w:w="1159" w:type="dxa"/>
          </w:tcPr>
          <w:p w14:paraId="1C68A0AE"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067" w:type="dxa"/>
          </w:tcPr>
          <w:p w14:paraId="74E8E8EE"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851" w:type="dxa"/>
          </w:tcPr>
          <w:p w14:paraId="263CFBBB"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410" w:type="dxa"/>
          </w:tcPr>
          <w:p w14:paraId="0C9205C9"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843" w:type="dxa"/>
          </w:tcPr>
          <w:p w14:paraId="58F4A31F"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701" w:type="dxa"/>
          </w:tcPr>
          <w:p w14:paraId="3C22B175"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r w:rsidR="009D6F92" w:rsidRPr="007C7102" w14:paraId="180F9350" w14:textId="77777777" w:rsidTr="007D0589">
        <w:tc>
          <w:tcPr>
            <w:tcW w:w="1159" w:type="dxa"/>
          </w:tcPr>
          <w:p w14:paraId="57DF1411"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067" w:type="dxa"/>
          </w:tcPr>
          <w:p w14:paraId="2411AD8A"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851" w:type="dxa"/>
          </w:tcPr>
          <w:p w14:paraId="553B470C"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410" w:type="dxa"/>
          </w:tcPr>
          <w:p w14:paraId="5E216EE0"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843" w:type="dxa"/>
          </w:tcPr>
          <w:p w14:paraId="43A76735"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701" w:type="dxa"/>
          </w:tcPr>
          <w:p w14:paraId="082F424F"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r w:rsidR="009D6F92" w:rsidRPr="007C7102" w14:paraId="22DE5AA4" w14:textId="77777777" w:rsidTr="007D0589">
        <w:tc>
          <w:tcPr>
            <w:tcW w:w="1159" w:type="dxa"/>
          </w:tcPr>
          <w:p w14:paraId="289329E6"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067" w:type="dxa"/>
          </w:tcPr>
          <w:p w14:paraId="30BB1B1F"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851" w:type="dxa"/>
          </w:tcPr>
          <w:p w14:paraId="150C4171"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410" w:type="dxa"/>
          </w:tcPr>
          <w:p w14:paraId="123742FA"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843" w:type="dxa"/>
          </w:tcPr>
          <w:p w14:paraId="6D1129C3"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701" w:type="dxa"/>
          </w:tcPr>
          <w:p w14:paraId="467C1FD7"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bl>
    <w:p w14:paraId="5F8A020E" w14:textId="77777777" w:rsidR="009D6F92" w:rsidRDefault="009D6F92" w:rsidP="009D6F92">
      <w:pPr>
        <w:pBdr>
          <w:top w:val="nil"/>
          <w:left w:val="nil"/>
          <w:bottom w:val="nil"/>
          <w:right w:val="nil"/>
          <w:between w:val="nil"/>
        </w:pBdr>
        <w:spacing w:after="0" w:line="240" w:lineRule="auto"/>
        <w:ind w:left="567"/>
        <w:rPr>
          <w:rFonts w:ascii="Arial" w:eastAsia="Calibri" w:hAnsi="Arial" w:cs="Arial"/>
          <w:color w:val="000000"/>
          <w:kern w:val="0"/>
          <w:sz w:val="20"/>
          <w:szCs w:val="20"/>
          <w14:ligatures w14:val="none"/>
        </w:rPr>
      </w:pPr>
    </w:p>
    <w:p w14:paraId="3B65177C" w14:textId="77777777" w:rsidR="009D6F92" w:rsidRPr="009D6F92" w:rsidRDefault="009D6F92" w:rsidP="009D6F92">
      <w:pPr>
        <w:pBdr>
          <w:top w:val="nil"/>
          <w:left w:val="nil"/>
          <w:bottom w:val="nil"/>
          <w:right w:val="nil"/>
          <w:between w:val="nil"/>
        </w:pBdr>
        <w:spacing w:after="0" w:line="240" w:lineRule="auto"/>
        <w:ind w:left="567"/>
        <w:rPr>
          <w:rFonts w:ascii="Arial" w:eastAsia="Calibri" w:hAnsi="Arial" w:cs="Arial"/>
          <w:color w:val="000000"/>
          <w:kern w:val="0"/>
          <w:sz w:val="20"/>
          <w:szCs w:val="20"/>
          <w14:ligatures w14:val="none"/>
        </w:rPr>
      </w:pPr>
    </w:p>
    <w:p w14:paraId="1053A440" w14:textId="77777777" w:rsidR="009D6F92" w:rsidRPr="009D6F92" w:rsidRDefault="009D6F92" w:rsidP="009D6F92">
      <w:pPr>
        <w:pBdr>
          <w:top w:val="nil"/>
          <w:left w:val="nil"/>
          <w:bottom w:val="nil"/>
          <w:right w:val="nil"/>
          <w:between w:val="nil"/>
        </w:pBdr>
        <w:spacing w:after="0" w:line="240" w:lineRule="auto"/>
        <w:ind w:left="567"/>
        <w:rPr>
          <w:rFonts w:ascii="Arial" w:eastAsia="Calibri" w:hAnsi="Arial" w:cs="Arial"/>
          <w:color w:val="000000"/>
          <w:kern w:val="0"/>
          <w:sz w:val="20"/>
          <w:szCs w:val="20"/>
          <w14:ligatures w14:val="none"/>
        </w:rPr>
      </w:pPr>
    </w:p>
    <w:p w14:paraId="30000B9B" w14:textId="77777777" w:rsidR="009D6F92" w:rsidRPr="009D6F92" w:rsidRDefault="009D6F92" w:rsidP="009D6F92">
      <w:pPr>
        <w:pBdr>
          <w:top w:val="nil"/>
          <w:left w:val="nil"/>
          <w:bottom w:val="nil"/>
          <w:right w:val="nil"/>
          <w:between w:val="nil"/>
        </w:pBdr>
        <w:spacing w:after="0" w:line="240" w:lineRule="auto"/>
        <w:ind w:left="567"/>
        <w:rPr>
          <w:rFonts w:ascii="Arial" w:eastAsia="Calibri" w:hAnsi="Arial" w:cs="Arial"/>
          <w:color w:val="000000"/>
          <w:kern w:val="0"/>
          <w:sz w:val="20"/>
          <w:szCs w:val="20"/>
          <w14:ligatures w14:val="none"/>
        </w:rPr>
      </w:pPr>
    </w:p>
    <w:p w14:paraId="32915893" w14:textId="73D0E577" w:rsidR="009D6F92" w:rsidRPr="007C7102" w:rsidRDefault="009D6F92" w:rsidP="009D6F92">
      <w:pPr>
        <w:numPr>
          <w:ilvl w:val="0"/>
          <w:numId w:val="2"/>
        </w:numPr>
        <w:pBdr>
          <w:top w:val="nil"/>
          <w:left w:val="nil"/>
          <w:bottom w:val="nil"/>
          <w:right w:val="nil"/>
          <w:between w:val="nil"/>
        </w:pBdr>
        <w:spacing w:after="0" w:line="240" w:lineRule="auto"/>
        <w:ind w:left="567" w:hanging="567"/>
        <w:rPr>
          <w:rFonts w:ascii="Arial" w:eastAsia="Calibri" w:hAnsi="Arial" w:cs="Arial"/>
          <w:color w:val="000000"/>
          <w:kern w:val="0"/>
          <w:sz w:val="20"/>
          <w:szCs w:val="20"/>
          <w14:ligatures w14:val="none"/>
        </w:rPr>
      </w:pPr>
      <w:r>
        <w:rPr>
          <w:rFonts w:ascii="Arial" w:hAnsi="Arial"/>
          <w:b/>
          <w:color w:val="000000"/>
          <w:sz w:val="20"/>
        </w:rPr>
        <w:lastRenderedPageBreak/>
        <w:t>Pre-berthing checklist for receiving vessel and delivering vessel</w:t>
      </w:r>
    </w:p>
    <w:tbl>
      <w:tblPr>
        <w:tblW w:w="10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4"/>
        <w:gridCol w:w="1319"/>
        <w:gridCol w:w="140"/>
        <w:gridCol w:w="994"/>
        <w:gridCol w:w="851"/>
        <w:gridCol w:w="325"/>
        <w:gridCol w:w="738"/>
        <w:gridCol w:w="1205"/>
      </w:tblGrid>
      <w:tr w:rsidR="009D6F92" w:rsidRPr="007C7102" w14:paraId="1A4432F9" w14:textId="77777777" w:rsidTr="007D0589">
        <w:tc>
          <w:tcPr>
            <w:tcW w:w="4454" w:type="dxa"/>
          </w:tcPr>
          <w:p w14:paraId="0CFFC3BE"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Delivery of additives</w:t>
            </w:r>
          </w:p>
        </w:tc>
        <w:tc>
          <w:tcPr>
            <w:tcW w:w="1319" w:type="dxa"/>
          </w:tcPr>
          <w:p w14:paraId="4B04F650"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Vessel</w:t>
            </w:r>
          </w:p>
        </w:tc>
        <w:tc>
          <w:tcPr>
            <w:tcW w:w="1134" w:type="dxa"/>
            <w:gridSpan w:val="2"/>
          </w:tcPr>
          <w:p w14:paraId="186A2DF0"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Delivering</w:t>
            </w:r>
          </w:p>
          <w:p w14:paraId="3C70FF9E"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 xml:space="preserve">vessel </w:t>
            </w:r>
          </w:p>
        </w:tc>
        <w:tc>
          <w:tcPr>
            <w:tcW w:w="851" w:type="dxa"/>
          </w:tcPr>
          <w:p w14:paraId="560B296A"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Code</w:t>
            </w:r>
          </w:p>
        </w:tc>
        <w:tc>
          <w:tcPr>
            <w:tcW w:w="2268" w:type="dxa"/>
            <w:gridSpan w:val="3"/>
          </w:tcPr>
          <w:p w14:paraId="05409942" w14:textId="77777777" w:rsidR="009D6F92" w:rsidRPr="007C7102" w:rsidRDefault="009D6F92" w:rsidP="007D0589">
            <w:pPr>
              <w:pBdr>
                <w:top w:val="nil"/>
                <w:left w:val="nil"/>
                <w:bottom w:val="nil"/>
                <w:right w:val="nil"/>
                <w:between w:val="nil"/>
              </w:pBdr>
              <w:spacing w:after="0" w:line="240" w:lineRule="auto"/>
              <w:jc w:val="center"/>
              <w:rPr>
                <w:rFonts w:ascii="Arial" w:eastAsia="Calibri" w:hAnsi="Arial" w:cs="Arial"/>
                <w:color w:val="000000"/>
                <w:kern w:val="0"/>
                <w:sz w:val="20"/>
                <w:szCs w:val="20"/>
                <w14:ligatures w14:val="none"/>
              </w:rPr>
            </w:pPr>
            <w:r>
              <w:rPr>
                <w:rFonts w:ascii="Arial" w:hAnsi="Arial"/>
                <w:color w:val="000000"/>
                <w:sz w:val="20"/>
              </w:rPr>
              <w:t>Observations</w:t>
            </w:r>
          </w:p>
        </w:tc>
      </w:tr>
      <w:tr w:rsidR="009D6F92" w:rsidRPr="007C7102" w14:paraId="7CEAED02" w14:textId="77777777" w:rsidTr="007D0589">
        <w:tc>
          <w:tcPr>
            <w:tcW w:w="4454" w:type="dxa"/>
          </w:tcPr>
          <w:p w14:paraId="45644490" w14:textId="77777777" w:rsidR="009D6F92" w:rsidRPr="007C710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1. The vessel has obtained the necessary permissions to berth alongside the receiving vessel.</w:t>
            </w:r>
          </w:p>
        </w:tc>
        <w:tc>
          <w:tcPr>
            <w:tcW w:w="1319" w:type="dxa"/>
          </w:tcPr>
          <w:p w14:paraId="32A71471"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c>
          <w:tcPr>
            <w:tcW w:w="1134" w:type="dxa"/>
            <w:gridSpan w:val="2"/>
          </w:tcPr>
          <w:p w14:paraId="4EC7FB82"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c>
          <w:tcPr>
            <w:tcW w:w="851" w:type="dxa"/>
          </w:tcPr>
          <w:p w14:paraId="69087680"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c>
          <w:tcPr>
            <w:tcW w:w="2268" w:type="dxa"/>
            <w:gridSpan w:val="3"/>
          </w:tcPr>
          <w:p w14:paraId="04B70942"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r>
      <w:tr w:rsidR="009D6F92" w:rsidRPr="00C468C0" w14:paraId="5B5C6B00" w14:textId="77777777" w:rsidTr="007D0589">
        <w:tc>
          <w:tcPr>
            <w:tcW w:w="4454" w:type="dxa"/>
          </w:tcPr>
          <w:p w14:paraId="5B93633B"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2. The fenders have been inspected, are</w:t>
            </w:r>
          </w:p>
          <w:p w14:paraId="4052B1DD"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in good condition, and there is no</w:t>
            </w:r>
          </w:p>
          <w:p w14:paraId="3F7E468C"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risk of metal-to-metal contact.</w:t>
            </w:r>
          </w:p>
        </w:tc>
        <w:tc>
          <w:tcPr>
            <w:tcW w:w="1319" w:type="dxa"/>
          </w:tcPr>
          <w:p w14:paraId="6A654BD6"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c>
          <w:tcPr>
            <w:tcW w:w="1134" w:type="dxa"/>
            <w:gridSpan w:val="2"/>
          </w:tcPr>
          <w:p w14:paraId="4B1B4EEC"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c>
          <w:tcPr>
            <w:tcW w:w="851" w:type="dxa"/>
          </w:tcPr>
          <w:p w14:paraId="71AF8913"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R</w:t>
            </w:r>
          </w:p>
        </w:tc>
        <w:tc>
          <w:tcPr>
            <w:tcW w:w="2268" w:type="dxa"/>
            <w:gridSpan w:val="3"/>
          </w:tcPr>
          <w:p w14:paraId="762A99D5" w14:textId="77777777" w:rsidR="009D6F92" w:rsidRPr="000C4343"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r>
      <w:tr w:rsidR="009D6F92" w:rsidRPr="00C468C0" w14:paraId="1526EAEF" w14:textId="77777777" w:rsidTr="007D0589">
        <w:tc>
          <w:tcPr>
            <w:tcW w:w="4454" w:type="dxa"/>
          </w:tcPr>
          <w:p w14:paraId="0381CB20"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3. Adequate electrical insulation has been</w:t>
            </w:r>
          </w:p>
          <w:p w14:paraId="255A4239"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 xml:space="preserve">incorporated into the hose connection between the vessels. </w:t>
            </w:r>
          </w:p>
        </w:tc>
        <w:tc>
          <w:tcPr>
            <w:tcW w:w="1319" w:type="dxa"/>
          </w:tcPr>
          <w:p w14:paraId="12AB5602"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c>
          <w:tcPr>
            <w:tcW w:w="1134" w:type="dxa"/>
            <w:gridSpan w:val="2"/>
          </w:tcPr>
          <w:p w14:paraId="520F4146"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c>
          <w:tcPr>
            <w:tcW w:w="851" w:type="dxa"/>
          </w:tcPr>
          <w:p w14:paraId="2E47FD43"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c>
          <w:tcPr>
            <w:tcW w:w="2268" w:type="dxa"/>
            <w:gridSpan w:val="3"/>
          </w:tcPr>
          <w:p w14:paraId="1ACBBD39"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sidRPr="190E1189">
              <w:rPr>
                <w:rFonts w:ascii="Arial" w:hAnsi="Arial"/>
                <w:color w:val="000000" w:themeColor="text1"/>
                <w:sz w:val="20"/>
                <w:szCs w:val="20"/>
              </w:rPr>
              <w:t>• Not applicable - only required for flammable additives</w:t>
            </w:r>
          </w:p>
        </w:tc>
      </w:tr>
      <w:tr w:rsidR="009D6F92" w:rsidRPr="00C468C0" w14:paraId="5F086B6A" w14:textId="77777777" w:rsidTr="007D0589">
        <w:tc>
          <w:tcPr>
            <w:tcW w:w="4454" w:type="dxa"/>
          </w:tcPr>
          <w:p w14:paraId="110F8148"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4. All hoses are in good condition</w:t>
            </w:r>
          </w:p>
          <w:p w14:paraId="1ADF7250"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 xml:space="preserve"> and suitable for the specific additive.</w:t>
            </w:r>
          </w:p>
        </w:tc>
        <w:tc>
          <w:tcPr>
            <w:tcW w:w="1319" w:type="dxa"/>
          </w:tcPr>
          <w:p w14:paraId="093121A9"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c>
          <w:tcPr>
            <w:tcW w:w="1134" w:type="dxa"/>
            <w:gridSpan w:val="2"/>
          </w:tcPr>
          <w:p w14:paraId="3CE50585"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c>
          <w:tcPr>
            <w:tcW w:w="851" w:type="dxa"/>
          </w:tcPr>
          <w:p w14:paraId="391190D7"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c>
          <w:tcPr>
            <w:tcW w:w="2268" w:type="dxa"/>
            <w:gridSpan w:val="3"/>
          </w:tcPr>
          <w:p w14:paraId="71EE538E" w14:textId="77777777" w:rsidR="009D6F92" w:rsidRPr="00853324" w:rsidRDefault="009D6F92" w:rsidP="007D0589">
            <w:pPr>
              <w:pBdr>
                <w:top w:val="nil"/>
                <w:left w:val="nil"/>
                <w:bottom w:val="nil"/>
                <w:right w:val="nil"/>
                <w:between w:val="nil"/>
              </w:pBdr>
              <w:spacing w:after="0" w:line="240" w:lineRule="auto"/>
              <w:rPr>
                <w:rFonts w:ascii="Arial" w:eastAsia="Cambria" w:hAnsi="Arial" w:cs="Arial"/>
                <w:color w:val="000000"/>
                <w:kern w:val="0"/>
                <w:sz w:val="20"/>
                <w:szCs w:val="20"/>
                <w:lang w:val="en-US" w:eastAsia="zh-CN"/>
                <w14:ligatures w14:val="none"/>
              </w:rPr>
            </w:pPr>
          </w:p>
        </w:tc>
      </w:tr>
      <w:tr w:rsidR="009D6F92" w:rsidRPr="00C468C0" w14:paraId="4339B4E5" w14:textId="77777777" w:rsidTr="007D0589">
        <w:tc>
          <w:tcPr>
            <w:tcW w:w="5913" w:type="dxa"/>
            <w:gridSpan w:val="3"/>
            <w:tcBorders>
              <w:top w:val="nil"/>
              <w:left w:val="nil"/>
              <w:bottom w:val="single" w:sz="4" w:space="0" w:color="000000" w:themeColor="text1"/>
              <w:right w:val="nil"/>
            </w:tcBorders>
          </w:tcPr>
          <w:p w14:paraId="610DB306" w14:textId="77777777" w:rsidR="009D6F92" w:rsidRPr="000C4343" w:rsidRDefault="009D6F92" w:rsidP="007D0589">
            <w:pPr>
              <w:pBdr>
                <w:top w:val="nil"/>
                <w:left w:val="nil"/>
                <w:bottom w:val="nil"/>
                <w:right w:val="nil"/>
                <w:between w:val="nil"/>
              </w:pBdr>
              <w:spacing w:after="0" w:line="240" w:lineRule="auto"/>
              <w:ind w:left="567" w:hanging="709"/>
              <w:rPr>
                <w:rFonts w:ascii="Arial" w:eastAsia="Calibri" w:hAnsi="Arial" w:cs="Arial"/>
                <w:color w:val="000000"/>
                <w:kern w:val="0"/>
                <w:sz w:val="20"/>
                <w:szCs w:val="20"/>
                <w14:ligatures w14:val="none"/>
              </w:rPr>
            </w:pPr>
            <w:r>
              <w:rPr>
                <w:rFonts w:ascii="Arial" w:hAnsi="Arial"/>
                <w:b/>
                <w:color w:val="000000"/>
                <w:sz w:val="20"/>
              </w:rPr>
              <w:t>.</w:t>
            </w:r>
          </w:p>
          <w:p w14:paraId="6599CE23" w14:textId="77777777" w:rsidR="009D6F92" w:rsidRPr="000C4343" w:rsidRDefault="009D6F92" w:rsidP="007D0589">
            <w:pPr>
              <w:pBdr>
                <w:top w:val="nil"/>
                <w:left w:val="nil"/>
                <w:bottom w:val="nil"/>
                <w:right w:val="nil"/>
                <w:between w:val="nil"/>
              </w:pBdr>
              <w:spacing w:after="0" w:line="240" w:lineRule="auto"/>
              <w:ind w:left="567" w:hanging="567"/>
              <w:rPr>
                <w:rFonts w:ascii="Arial" w:eastAsia="Calibri" w:hAnsi="Arial" w:cs="Arial"/>
                <w:color w:val="000000"/>
                <w:kern w:val="0"/>
                <w:sz w:val="20"/>
                <w:szCs w:val="20"/>
                <w14:ligatures w14:val="none"/>
              </w:rPr>
            </w:pPr>
            <w:r>
              <w:rPr>
                <w:rFonts w:ascii="Arial" w:hAnsi="Arial"/>
                <w:b/>
                <w:color w:val="000000"/>
                <w:sz w:val="20"/>
              </w:rPr>
              <w:t>4. Pre-transfer checklist</w:t>
            </w:r>
          </w:p>
        </w:tc>
        <w:tc>
          <w:tcPr>
            <w:tcW w:w="994" w:type="dxa"/>
            <w:tcBorders>
              <w:top w:val="nil"/>
              <w:left w:val="nil"/>
              <w:bottom w:val="single" w:sz="4" w:space="0" w:color="000000" w:themeColor="text1"/>
              <w:right w:val="nil"/>
            </w:tcBorders>
          </w:tcPr>
          <w:p w14:paraId="5885F033"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176" w:type="dxa"/>
            <w:gridSpan w:val="2"/>
            <w:tcBorders>
              <w:top w:val="nil"/>
              <w:left w:val="nil"/>
              <w:bottom w:val="single" w:sz="4" w:space="0" w:color="000000" w:themeColor="text1"/>
              <w:right w:val="nil"/>
            </w:tcBorders>
          </w:tcPr>
          <w:p w14:paraId="255CCC6A"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Borders>
              <w:top w:val="nil"/>
              <w:left w:val="nil"/>
              <w:bottom w:val="single" w:sz="4" w:space="0" w:color="000000" w:themeColor="text1"/>
              <w:right w:val="nil"/>
            </w:tcBorders>
          </w:tcPr>
          <w:p w14:paraId="741AC9F5"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205" w:type="dxa"/>
            <w:tcBorders>
              <w:top w:val="nil"/>
              <w:left w:val="nil"/>
              <w:bottom w:val="single" w:sz="4" w:space="0" w:color="000000" w:themeColor="text1"/>
              <w:right w:val="nil"/>
            </w:tcBorders>
          </w:tcPr>
          <w:p w14:paraId="42C2B8D6"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9D6F92" w:rsidRPr="000C4343" w14:paraId="4ECE3897" w14:textId="77777777" w:rsidTr="007D0589">
        <w:tc>
          <w:tcPr>
            <w:tcW w:w="4454" w:type="dxa"/>
            <w:tcBorders>
              <w:top w:val="single" w:sz="4" w:space="0" w:color="000000" w:themeColor="text1"/>
            </w:tcBorders>
          </w:tcPr>
          <w:p w14:paraId="17DD9627"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 xml:space="preserve">1. The delivering vessels is securely moored. </w:t>
            </w:r>
          </w:p>
          <w:p w14:paraId="2AD60B4B"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319" w:type="dxa"/>
            <w:tcBorders>
              <w:top w:val="single" w:sz="4" w:space="0" w:color="000000" w:themeColor="text1"/>
            </w:tcBorders>
          </w:tcPr>
          <w:p w14:paraId="707C0DC4"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Borders>
              <w:top w:val="single" w:sz="4" w:space="0" w:color="000000" w:themeColor="text1"/>
            </w:tcBorders>
          </w:tcPr>
          <w:p w14:paraId="62290A04"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Borders>
              <w:top w:val="single" w:sz="4" w:space="0" w:color="000000" w:themeColor="text1"/>
            </w:tcBorders>
          </w:tcPr>
          <w:p w14:paraId="5B72385B"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R</w:t>
            </w:r>
          </w:p>
        </w:tc>
        <w:tc>
          <w:tcPr>
            <w:tcW w:w="2268" w:type="dxa"/>
            <w:gridSpan w:val="3"/>
            <w:tcBorders>
              <w:top w:val="single" w:sz="4" w:space="0" w:color="000000" w:themeColor="text1"/>
            </w:tcBorders>
          </w:tcPr>
          <w:p w14:paraId="47E8F365"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9D6F92" w:rsidRPr="000C4343" w14:paraId="34C210DD" w14:textId="77777777" w:rsidTr="007D0589">
        <w:tc>
          <w:tcPr>
            <w:tcW w:w="4454" w:type="dxa"/>
          </w:tcPr>
          <w:p w14:paraId="585DDCF5"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2. Safe access has been established</w:t>
            </w:r>
          </w:p>
          <w:p w14:paraId="23F2969F"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between the delivering and receiving vessels.</w:t>
            </w:r>
          </w:p>
        </w:tc>
        <w:tc>
          <w:tcPr>
            <w:tcW w:w="1319" w:type="dxa"/>
          </w:tcPr>
          <w:p w14:paraId="2C890FA7"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212A54DC"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70063191"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R</w:t>
            </w:r>
          </w:p>
        </w:tc>
        <w:tc>
          <w:tcPr>
            <w:tcW w:w="2268" w:type="dxa"/>
            <w:gridSpan w:val="3"/>
          </w:tcPr>
          <w:p w14:paraId="38A889FA"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9D6F92" w:rsidRPr="000C4343" w14:paraId="5639C8EA" w14:textId="77777777" w:rsidTr="007D0589">
        <w:tc>
          <w:tcPr>
            <w:tcW w:w="4454" w:type="dxa"/>
          </w:tcPr>
          <w:p w14:paraId="140DCE59"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 xml:space="preserve">3. Effective communication has been </w:t>
            </w:r>
          </w:p>
          <w:p w14:paraId="70B1DA8F"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established between the responsible officers</w:t>
            </w:r>
          </w:p>
        </w:tc>
        <w:tc>
          <w:tcPr>
            <w:tcW w:w="1319" w:type="dxa"/>
          </w:tcPr>
          <w:p w14:paraId="721AA2EC"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02E9250F"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453F6486"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R</w:t>
            </w:r>
          </w:p>
        </w:tc>
        <w:tc>
          <w:tcPr>
            <w:tcW w:w="2268" w:type="dxa"/>
            <w:gridSpan w:val="3"/>
          </w:tcPr>
          <w:p w14:paraId="2C004BBD"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(VHF/UHF-channel ..........).</w:t>
            </w:r>
          </w:p>
          <w:p w14:paraId="22666116"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Primary system:</w:t>
            </w:r>
          </w:p>
          <w:p w14:paraId="4CA75126"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Backup system:</w:t>
            </w:r>
          </w:p>
          <w:p w14:paraId="49E0F592"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Emergency stop signal:</w:t>
            </w:r>
          </w:p>
        </w:tc>
      </w:tr>
      <w:tr w:rsidR="009D6F92" w:rsidRPr="000C4343" w14:paraId="3052BCBC" w14:textId="77777777" w:rsidTr="007D0589">
        <w:tc>
          <w:tcPr>
            <w:tcW w:w="4454" w:type="dxa"/>
          </w:tcPr>
          <w:p w14:paraId="01DDA1E9"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4. A continuous and effective bunker watch</w:t>
            </w:r>
          </w:p>
          <w:p w14:paraId="2E992683"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sidRPr="190E1189">
              <w:rPr>
                <w:rFonts w:ascii="Arial" w:hAnsi="Arial"/>
                <w:color w:val="000000" w:themeColor="text1"/>
                <w:sz w:val="20"/>
                <w:szCs w:val="20"/>
              </w:rPr>
              <w:t>is maintained on both vessels.</w:t>
            </w:r>
          </w:p>
        </w:tc>
        <w:tc>
          <w:tcPr>
            <w:tcW w:w="1319" w:type="dxa"/>
          </w:tcPr>
          <w:p w14:paraId="44673247"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4600B199"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23AA1253"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268" w:type="dxa"/>
            <w:gridSpan w:val="3"/>
          </w:tcPr>
          <w:p w14:paraId="4E8DC887"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r w:rsidR="009D6F92" w:rsidRPr="000C4343" w14:paraId="63EBEA35" w14:textId="77777777" w:rsidTr="007D0589">
        <w:tc>
          <w:tcPr>
            <w:tcW w:w="4454" w:type="dxa"/>
          </w:tcPr>
          <w:p w14:paraId="711F3C08"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5. A Safety Data Sheet (SDS) has been provided to the receiving vessel.</w:t>
            </w:r>
          </w:p>
        </w:tc>
        <w:tc>
          <w:tcPr>
            <w:tcW w:w="1319" w:type="dxa"/>
          </w:tcPr>
          <w:p w14:paraId="564EE089"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2B08DBAF"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0DE0A257"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268" w:type="dxa"/>
            <w:gridSpan w:val="3"/>
          </w:tcPr>
          <w:p w14:paraId="7DC0AE4E"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r w:rsidR="009D6F92" w:rsidRPr="000C4343" w14:paraId="6C7013B2" w14:textId="77777777" w:rsidTr="007D0589">
        <w:tc>
          <w:tcPr>
            <w:tcW w:w="4454" w:type="dxa"/>
          </w:tcPr>
          <w:p w14:paraId="6C84E777"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6. All crew members involved on both vessels are aware of the hazards associated with the additive.</w:t>
            </w:r>
          </w:p>
        </w:tc>
        <w:tc>
          <w:tcPr>
            <w:tcW w:w="1319" w:type="dxa"/>
          </w:tcPr>
          <w:p w14:paraId="41B0B5DE"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333DE662"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68BC042F"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268" w:type="dxa"/>
            <w:gridSpan w:val="3"/>
          </w:tcPr>
          <w:p w14:paraId="0FF95CF6"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r w:rsidR="009D6F92" w:rsidRPr="000C4343" w14:paraId="66C3FFD1" w14:textId="77777777" w:rsidTr="007D0589">
        <w:tc>
          <w:tcPr>
            <w:tcW w:w="4454" w:type="dxa"/>
          </w:tcPr>
          <w:p w14:paraId="22B074B3"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7. Personal protective equipment (PPE), as specified in the SDS, is being used by all personnel involved.</w:t>
            </w:r>
          </w:p>
        </w:tc>
        <w:tc>
          <w:tcPr>
            <w:tcW w:w="1319" w:type="dxa"/>
          </w:tcPr>
          <w:p w14:paraId="6679B331"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65DC5988"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5163A47A"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268" w:type="dxa"/>
            <w:gridSpan w:val="3"/>
          </w:tcPr>
          <w:p w14:paraId="76A9AFA3" w14:textId="77777777" w:rsidR="009D6F92" w:rsidRPr="00853324"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highlight w:val="yellow"/>
                <w:lang w:val="en-US" w:eastAsia="zh-CN"/>
                <w14:ligatures w14:val="none"/>
              </w:rPr>
            </w:pPr>
          </w:p>
        </w:tc>
      </w:tr>
      <w:tr w:rsidR="009D6F92" w:rsidRPr="000C4343" w14:paraId="60A54470" w14:textId="77777777" w:rsidTr="007D0589">
        <w:tc>
          <w:tcPr>
            <w:tcW w:w="4454" w:type="dxa"/>
          </w:tcPr>
          <w:p w14:paraId="0839DBA8"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8. The area around the connection point is restricted to authorised personnel only.</w:t>
            </w:r>
          </w:p>
        </w:tc>
        <w:tc>
          <w:tcPr>
            <w:tcW w:w="1319" w:type="dxa"/>
          </w:tcPr>
          <w:p w14:paraId="2EAC70A2"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2869BDF6"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7BA9484D"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268" w:type="dxa"/>
            <w:gridSpan w:val="3"/>
          </w:tcPr>
          <w:p w14:paraId="2847AC2F" w14:textId="77777777" w:rsidR="009D6F92" w:rsidRPr="00853324"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highlight w:val="yellow"/>
                <w:lang w:val="en-US" w:eastAsia="zh-CN"/>
                <w14:ligatures w14:val="none"/>
              </w:rPr>
            </w:pPr>
          </w:p>
        </w:tc>
      </w:tr>
      <w:tr w:rsidR="009D6F92" w:rsidRPr="000C4343" w14:paraId="1BA44B93" w14:textId="77777777" w:rsidTr="007D0589">
        <w:tc>
          <w:tcPr>
            <w:tcW w:w="4454" w:type="dxa"/>
          </w:tcPr>
          <w:p w14:paraId="3F3F73D3"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9. Necessary precautions have been agreed upon to prevent accidental personal contact with the additive.</w:t>
            </w:r>
          </w:p>
        </w:tc>
        <w:tc>
          <w:tcPr>
            <w:tcW w:w="1319" w:type="dxa"/>
          </w:tcPr>
          <w:p w14:paraId="004B3827"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60B5E31E"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3CD6E385"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268" w:type="dxa"/>
            <w:gridSpan w:val="3"/>
          </w:tcPr>
          <w:p w14:paraId="1AE34394"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A suitable emergency shower and eyewash station must be installed, tested, and ready for immediate use in the bunkering area.</w:t>
            </w:r>
          </w:p>
        </w:tc>
      </w:tr>
      <w:tr w:rsidR="009D6F92" w:rsidRPr="000C4343" w14:paraId="7CF6EB33" w14:textId="77777777" w:rsidTr="007D0589">
        <w:tc>
          <w:tcPr>
            <w:tcW w:w="4454" w:type="dxa"/>
          </w:tcPr>
          <w:p w14:paraId="08F412D5"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10. Fire hoses and firefighting</w:t>
            </w:r>
          </w:p>
          <w:p w14:paraId="16833359"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sidRPr="190E1189">
              <w:rPr>
                <w:rFonts w:ascii="Arial" w:hAnsi="Arial"/>
                <w:color w:val="000000" w:themeColor="text1"/>
                <w:sz w:val="20"/>
                <w:szCs w:val="20"/>
              </w:rPr>
              <w:t xml:space="preserve">equipment on both vessels are immediately available for use. </w:t>
            </w:r>
          </w:p>
          <w:p w14:paraId="42559920"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(VHF/UHF-channel ..........).</w:t>
            </w:r>
          </w:p>
        </w:tc>
        <w:tc>
          <w:tcPr>
            <w:tcW w:w="1319" w:type="dxa"/>
          </w:tcPr>
          <w:p w14:paraId="68E03884"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134" w:type="dxa"/>
            <w:gridSpan w:val="2"/>
          </w:tcPr>
          <w:p w14:paraId="7CE4FC43"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851" w:type="dxa"/>
          </w:tcPr>
          <w:p w14:paraId="77AE8E26"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268" w:type="dxa"/>
            <w:gridSpan w:val="3"/>
          </w:tcPr>
          <w:p w14:paraId="7E9032B9"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Due to the nature of most additives, a continuous supply of running water must be available.</w:t>
            </w:r>
          </w:p>
        </w:tc>
      </w:tr>
      <w:tr w:rsidR="009D6F92" w:rsidRPr="000C4343" w14:paraId="6DE81B14" w14:textId="77777777" w:rsidTr="007D0589">
        <w:tc>
          <w:tcPr>
            <w:tcW w:w="4454" w:type="dxa"/>
          </w:tcPr>
          <w:p w14:paraId="27A9F771"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11. Scuppers are open in the case of a Class 8 substance or a corrosive material.</w:t>
            </w:r>
          </w:p>
          <w:p w14:paraId="3E8683E4"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497E9380"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 xml:space="preserve">Drip trays are in place under connection points. </w:t>
            </w:r>
          </w:p>
        </w:tc>
        <w:tc>
          <w:tcPr>
            <w:tcW w:w="1319" w:type="dxa"/>
          </w:tcPr>
          <w:p w14:paraId="17ED6EE4" w14:textId="77777777" w:rsidR="009D6F92" w:rsidRPr="00853324" w:rsidRDefault="009D6F92" w:rsidP="007D0589">
            <w:pPr>
              <w:pBdr>
                <w:top w:val="nil"/>
                <w:left w:val="nil"/>
                <w:bottom w:val="nil"/>
                <w:right w:val="nil"/>
                <w:between w:val="nil"/>
              </w:pBdr>
              <w:spacing w:after="0" w:line="240" w:lineRule="auto"/>
              <w:rPr>
                <w:rFonts w:ascii="Arial" w:eastAsia="ArialMT" w:hAnsi="Arial" w:cs="Arial"/>
                <w:color w:val="FFFFFF"/>
                <w:kern w:val="0"/>
                <w:sz w:val="20"/>
                <w:szCs w:val="20"/>
                <w:lang w:val="en-US" w:eastAsia="zh-CN"/>
                <w14:ligatures w14:val="none"/>
              </w:rPr>
            </w:pPr>
          </w:p>
        </w:tc>
        <w:tc>
          <w:tcPr>
            <w:tcW w:w="1134" w:type="dxa"/>
            <w:gridSpan w:val="2"/>
          </w:tcPr>
          <w:p w14:paraId="0AC3EF0F" w14:textId="77777777" w:rsidR="009D6F92" w:rsidRPr="00853324" w:rsidRDefault="009D6F92" w:rsidP="007D0589">
            <w:pPr>
              <w:pBdr>
                <w:top w:val="nil"/>
                <w:left w:val="nil"/>
                <w:bottom w:val="nil"/>
                <w:right w:val="nil"/>
                <w:between w:val="nil"/>
              </w:pBdr>
              <w:spacing w:after="0" w:line="240" w:lineRule="auto"/>
              <w:rPr>
                <w:rFonts w:ascii="Arial" w:eastAsia="ArialMT" w:hAnsi="Arial" w:cs="Arial"/>
                <w:color w:val="FFFFFF"/>
                <w:kern w:val="0"/>
                <w:sz w:val="20"/>
                <w:szCs w:val="20"/>
                <w:lang w:val="en-US" w:eastAsia="zh-CN"/>
                <w14:ligatures w14:val="none"/>
              </w:rPr>
            </w:pPr>
          </w:p>
        </w:tc>
        <w:tc>
          <w:tcPr>
            <w:tcW w:w="851" w:type="dxa"/>
          </w:tcPr>
          <w:p w14:paraId="19B6B7D7" w14:textId="77777777" w:rsidR="009D6F92" w:rsidRPr="000C4343" w:rsidRDefault="009D6F92" w:rsidP="007D0589">
            <w:pPr>
              <w:pBdr>
                <w:top w:val="nil"/>
                <w:left w:val="nil"/>
                <w:bottom w:val="nil"/>
                <w:right w:val="nil"/>
                <w:between w:val="nil"/>
              </w:pBdr>
              <w:spacing w:after="0" w:line="240" w:lineRule="auto"/>
              <w:rPr>
                <w:rFonts w:ascii="Arial" w:eastAsia="ArialMT-Medium" w:hAnsi="Arial" w:cs="Arial"/>
                <w:color w:val="1EB8A1"/>
                <w:kern w:val="0"/>
                <w:sz w:val="20"/>
                <w:szCs w:val="20"/>
                <w14:ligatures w14:val="none"/>
              </w:rPr>
            </w:pPr>
            <w:r>
              <w:rPr>
                <w:rFonts w:ascii="Arial" w:hAnsi="Arial"/>
                <w:color w:val="000000"/>
                <w:sz w:val="20"/>
              </w:rPr>
              <w:t>R</w:t>
            </w:r>
          </w:p>
        </w:tc>
        <w:tc>
          <w:tcPr>
            <w:tcW w:w="2268" w:type="dxa"/>
            <w:gridSpan w:val="3"/>
          </w:tcPr>
          <w:p w14:paraId="11B77F16"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Scupper requirement:</w:t>
            </w:r>
          </w:p>
          <w:p w14:paraId="47932983"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 xml:space="preserve"> • Not applicable</w:t>
            </w:r>
          </w:p>
          <w:p w14:paraId="73AC5B1B" w14:textId="77777777" w:rsidR="009D6F92" w:rsidRPr="00853324"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lang w:val="en-US" w:eastAsia="zh-CN"/>
                <w14:ligatures w14:val="none"/>
              </w:rPr>
            </w:pPr>
          </w:p>
          <w:p w14:paraId="363016D1"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FFFFFF"/>
                <w:kern w:val="0"/>
                <w:sz w:val="20"/>
                <w:szCs w:val="20"/>
                <w14:ligatures w14:val="none"/>
              </w:rPr>
            </w:pPr>
            <w:r>
              <w:rPr>
                <w:rFonts w:ascii="Arial" w:hAnsi="Arial"/>
                <w:color w:val="000000"/>
                <w:sz w:val="20"/>
              </w:rPr>
              <w:t>Due to the nature of Class 8 substances, such as 50% sodium hydroxide, scuppers must remain open</w:t>
            </w:r>
          </w:p>
        </w:tc>
      </w:tr>
      <w:tr w:rsidR="009D6F92" w:rsidRPr="000C4343" w14:paraId="4F76DBF0" w14:textId="77777777" w:rsidTr="007D0589">
        <w:tc>
          <w:tcPr>
            <w:tcW w:w="4454" w:type="dxa"/>
          </w:tcPr>
          <w:p w14:paraId="7C63AF38"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lastRenderedPageBreak/>
              <w:t>12. Initial setup has been checked and</w:t>
            </w:r>
          </w:p>
          <w:p w14:paraId="1745F959"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any unused connections are</w:t>
            </w:r>
          </w:p>
          <w:p w14:paraId="727B8480"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blanked off and fully secured. Hoses and pipelines are made of suitable material for handling the specific additive.</w:t>
            </w:r>
          </w:p>
        </w:tc>
        <w:tc>
          <w:tcPr>
            <w:tcW w:w="1319" w:type="dxa"/>
          </w:tcPr>
          <w:p w14:paraId="0797130C" w14:textId="77777777" w:rsidR="009D6F92" w:rsidRPr="00853324" w:rsidRDefault="009D6F92" w:rsidP="007D0589">
            <w:pPr>
              <w:pBdr>
                <w:top w:val="nil"/>
                <w:left w:val="nil"/>
                <w:bottom w:val="nil"/>
                <w:right w:val="nil"/>
                <w:between w:val="nil"/>
              </w:pBdr>
              <w:spacing w:after="0" w:line="240" w:lineRule="auto"/>
              <w:rPr>
                <w:rFonts w:ascii="Arial" w:eastAsia="ArialMT" w:hAnsi="Arial" w:cs="Arial"/>
                <w:color w:val="FFFFFF"/>
                <w:kern w:val="0"/>
                <w:sz w:val="20"/>
                <w:szCs w:val="20"/>
                <w:lang w:val="en-US" w:eastAsia="zh-CN"/>
                <w14:ligatures w14:val="none"/>
              </w:rPr>
            </w:pPr>
          </w:p>
        </w:tc>
        <w:tc>
          <w:tcPr>
            <w:tcW w:w="1134" w:type="dxa"/>
            <w:gridSpan w:val="2"/>
          </w:tcPr>
          <w:p w14:paraId="49C2603E" w14:textId="77777777" w:rsidR="009D6F92" w:rsidRPr="00853324" w:rsidRDefault="009D6F92" w:rsidP="007D0589">
            <w:pPr>
              <w:pBdr>
                <w:top w:val="nil"/>
                <w:left w:val="nil"/>
                <w:bottom w:val="nil"/>
                <w:right w:val="nil"/>
                <w:between w:val="nil"/>
              </w:pBdr>
              <w:spacing w:after="0" w:line="240" w:lineRule="auto"/>
              <w:rPr>
                <w:rFonts w:ascii="Arial" w:eastAsia="ArialMT" w:hAnsi="Arial" w:cs="Arial"/>
                <w:color w:val="FFFFFF"/>
                <w:kern w:val="0"/>
                <w:sz w:val="20"/>
                <w:szCs w:val="20"/>
                <w:lang w:val="en-US" w:eastAsia="zh-CN"/>
                <w14:ligatures w14:val="none"/>
              </w:rPr>
            </w:pPr>
          </w:p>
        </w:tc>
        <w:tc>
          <w:tcPr>
            <w:tcW w:w="851" w:type="dxa"/>
          </w:tcPr>
          <w:p w14:paraId="40F2FCCC" w14:textId="77777777" w:rsidR="009D6F92" w:rsidRPr="00853324" w:rsidRDefault="009D6F92" w:rsidP="007D0589">
            <w:pPr>
              <w:pBdr>
                <w:top w:val="nil"/>
                <w:left w:val="nil"/>
                <w:bottom w:val="nil"/>
                <w:right w:val="nil"/>
                <w:between w:val="nil"/>
              </w:pBdr>
              <w:spacing w:after="0" w:line="240" w:lineRule="auto"/>
              <w:rPr>
                <w:rFonts w:ascii="Arial" w:eastAsia="ArialMT-Medium" w:hAnsi="Arial" w:cs="Arial"/>
                <w:color w:val="1EB8A1"/>
                <w:kern w:val="0"/>
                <w:sz w:val="20"/>
                <w:szCs w:val="20"/>
                <w:lang w:val="en-US" w:eastAsia="zh-CN"/>
                <w14:ligatures w14:val="none"/>
              </w:rPr>
            </w:pPr>
          </w:p>
        </w:tc>
        <w:tc>
          <w:tcPr>
            <w:tcW w:w="2268" w:type="dxa"/>
            <w:gridSpan w:val="3"/>
          </w:tcPr>
          <w:p w14:paraId="44D8E285"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FFFFFF"/>
                <w:kern w:val="0"/>
                <w:sz w:val="20"/>
                <w:szCs w:val="20"/>
                <w14:ligatures w14:val="none"/>
              </w:rPr>
            </w:pPr>
            <w:r>
              <w:rPr>
                <w:rFonts w:ascii="Arial" w:hAnsi="Arial"/>
                <w:color w:val="000000"/>
                <w:sz w:val="20"/>
              </w:rPr>
              <w:t>Due to the nature of Class 8 substances, such as 50% sodium hydroxide, product-resistant materials must be used.</w:t>
            </w:r>
          </w:p>
        </w:tc>
      </w:tr>
      <w:tr w:rsidR="009D6F92" w:rsidRPr="000C4343" w14:paraId="34660212" w14:textId="77777777" w:rsidTr="007D0589">
        <w:tc>
          <w:tcPr>
            <w:tcW w:w="4454" w:type="dxa"/>
          </w:tcPr>
          <w:p w14:paraId="1DE054F1"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13. The bunker hose is correctly installed, fully secured, and properly connected to the manifolds on the receiving vessel and the delivering vessel.</w:t>
            </w:r>
          </w:p>
          <w:p w14:paraId="4227515B"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sidRPr="190E1189">
              <w:rPr>
                <w:rFonts w:ascii="Arial" w:hAnsi="Arial"/>
                <w:color w:val="000000" w:themeColor="text1"/>
                <w:sz w:val="20"/>
                <w:szCs w:val="20"/>
              </w:rPr>
              <w:t>Equipment  to drain hoses or pipes is available in the bunker hose if needed. If multiple hoses are used, spray shields are fitted on hose connections.</w:t>
            </w:r>
          </w:p>
        </w:tc>
        <w:tc>
          <w:tcPr>
            <w:tcW w:w="1319" w:type="dxa"/>
          </w:tcPr>
          <w:p w14:paraId="7968E58C" w14:textId="77777777" w:rsidR="009D6F92" w:rsidRPr="00853324" w:rsidRDefault="009D6F92" w:rsidP="007D0589">
            <w:pPr>
              <w:pBdr>
                <w:top w:val="nil"/>
                <w:left w:val="nil"/>
                <w:bottom w:val="nil"/>
                <w:right w:val="nil"/>
                <w:between w:val="nil"/>
              </w:pBdr>
              <w:spacing w:after="0" w:line="240" w:lineRule="auto"/>
              <w:rPr>
                <w:rFonts w:ascii="Arial" w:eastAsia="ArialMT" w:hAnsi="Arial" w:cs="Arial"/>
                <w:color w:val="FFFFFF"/>
                <w:kern w:val="0"/>
                <w:sz w:val="20"/>
                <w:szCs w:val="20"/>
                <w:lang w:val="en-US" w:eastAsia="zh-CN"/>
                <w14:ligatures w14:val="none"/>
              </w:rPr>
            </w:pPr>
          </w:p>
        </w:tc>
        <w:tc>
          <w:tcPr>
            <w:tcW w:w="1134" w:type="dxa"/>
            <w:gridSpan w:val="2"/>
          </w:tcPr>
          <w:p w14:paraId="483B35BA" w14:textId="77777777" w:rsidR="009D6F92" w:rsidRPr="00853324" w:rsidRDefault="009D6F92" w:rsidP="007D0589">
            <w:pPr>
              <w:pBdr>
                <w:top w:val="nil"/>
                <w:left w:val="nil"/>
                <w:bottom w:val="nil"/>
                <w:right w:val="nil"/>
                <w:between w:val="nil"/>
              </w:pBdr>
              <w:spacing w:after="0" w:line="240" w:lineRule="auto"/>
              <w:rPr>
                <w:rFonts w:ascii="Arial" w:eastAsia="ArialMT" w:hAnsi="Arial" w:cs="Arial"/>
                <w:color w:val="FFFFFF"/>
                <w:kern w:val="0"/>
                <w:sz w:val="20"/>
                <w:szCs w:val="20"/>
                <w:lang w:val="en-US" w:eastAsia="zh-CN"/>
                <w14:ligatures w14:val="none"/>
              </w:rPr>
            </w:pPr>
          </w:p>
        </w:tc>
        <w:tc>
          <w:tcPr>
            <w:tcW w:w="851" w:type="dxa"/>
          </w:tcPr>
          <w:p w14:paraId="228902CE" w14:textId="77777777" w:rsidR="009D6F92" w:rsidRPr="00853324" w:rsidRDefault="009D6F92" w:rsidP="007D0589">
            <w:pPr>
              <w:pBdr>
                <w:top w:val="nil"/>
                <w:left w:val="nil"/>
                <w:bottom w:val="nil"/>
                <w:right w:val="nil"/>
                <w:between w:val="nil"/>
              </w:pBdr>
              <w:spacing w:after="0" w:line="240" w:lineRule="auto"/>
              <w:rPr>
                <w:rFonts w:ascii="Arial" w:eastAsia="ArialMT-Medium" w:hAnsi="Arial" w:cs="Arial"/>
                <w:color w:val="1EB8A1"/>
                <w:kern w:val="0"/>
                <w:sz w:val="20"/>
                <w:szCs w:val="20"/>
                <w:lang w:val="en-US" w:eastAsia="zh-CN"/>
                <w14:ligatures w14:val="none"/>
              </w:rPr>
            </w:pPr>
          </w:p>
        </w:tc>
        <w:tc>
          <w:tcPr>
            <w:tcW w:w="2268" w:type="dxa"/>
            <w:gridSpan w:val="3"/>
          </w:tcPr>
          <w:p w14:paraId="7D3D5154"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FFFFFF"/>
                <w:kern w:val="0"/>
                <w:sz w:val="20"/>
                <w:szCs w:val="20"/>
                <w14:ligatures w14:val="none"/>
              </w:rPr>
            </w:pPr>
            <w:r>
              <w:rPr>
                <w:rFonts w:ascii="Arial" w:hAnsi="Arial"/>
                <w:color w:val="000000"/>
                <w:sz w:val="20"/>
              </w:rPr>
              <w:t>Due to the nature of Class 8 substances, such as 50% sodium hydroxide, product-resistant materials must be used.</w:t>
            </w:r>
          </w:p>
        </w:tc>
      </w:tr>
      <w:tr w:rsidR="009D6F92" w:rsidRPr="000C4343" w14:paraId="7D330737" w14:textId="77777777" w:rsidTr="007D0589">
        <w:tc>
          <w:tcPr>
            <w:tcW w:w="4454" w:type="dxa"/>
          </w:tcPr>
          <w:p w14:paraId="486A3E6F"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 xml:space="preserve">14. Overboard valves connected to the </w:t>
            </w:r>
          </w:p>
          <w:p w14:paraId="2EEA169F"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 xml:space="preserve">cargo system, bilge, or bunker system are closed and sealed. </w:t>
            </w:r>
          </w:p>
        </w:tc>
        <w:tc>
          <w:tcPr>
            <w:tcW w:w="1319" w:type="dxa"/>
          </w:tcPr>
          <w:p w14:paraId="6572939F"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77962E00"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576F9DC6"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268" w:type="dxa"/>
            <w:gridSpan w:val="3"/>
          </w:tcPr>
          <w:p w14:paraId="7004A4CC"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r w:rsidR="009D6F92" w:rsidRPr="000C4343" w14:paraId="1C801D54" w14:textId="77777777" w:rsidTr="007D0589">
        <w:tc>
          <w:tcPr>
            <w:tcW w:w="4454" w:type="dxa"/>
          </w:tcPr>
          <w:p w14:paraId="29A8B268"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15. All additive tank hatches are closed.</w:t>
            </w:r>
          </w:p>
        </w:tc>
        <w:tc>
          <w:tcPr>
            <w:tcW w:w="1319" w:type="dxa"/>
          </w:tcPr>
          <w:p w14:paraId="47D10923"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395856E3"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0D0A0DC5"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268" w:type="dxa"/>
            <w:gridSpan w:val="3"/>
          </w:tcPr>
          <w:p w14:paraId="55BF0719"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r w:rsidR="009D6F92" w:rsidRPr="000C4343" w14:paraId="7273C09E" w14:textId="77777777" w:rsidTr="007D0589">
        <w:tc>
          <w:tcPr>
            <w:tcW w:w="4454" w:type="dxa"/>
          </w:tcPr>
          <w:p w14:paraId="79F1F1C9"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sidRPr="190E1189">
              <w:rPr>
                <w:rFonts w:ascii="Arial" w:hAnsi="Arial"/>
                <w:color w:val="000000" w:themeColor="text1"/>
                <w:sz w:val="20"/>
                <w:szCs w:val="20"/>
              </w:rPr>
              <w:t>16. The additive tank level is monitored at regular intervals.</w:t>
            </w:r>
          </w:p>
          <w:p w14:paraId="51D596CB"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A bunker overfill protection system must be in place and connected to the emergency pump shutdown system of the delivering vessel.</w:t>
            </w:r>
          </w:p>
        </w:tc>
        <w:tc>
          <w:tcPr>
            <w:tcW w:w="1319" w:type="dxa"/>
          </w:tcPr>
          <w:p w14:paraId="0A06BD72"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3F9E6DC5"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3BE5F09D"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A</w:t>
            </w:r>
            <w:r>
              <w:rPr>
                <w:rFonts w:ascii="Arial" w:hAnsi="Arial"/>
                <w:color w:val="000000"/>
                <w:sz w:val="20"/>
              </w:rPr>
              <w:tab/>
              <w:t>R</w:t>
            </w:r>
          </w:p>
        </w:tc>
        <w:tc>
          <w:tcPr>
            <w:tcW w:w="2268" w:type="dxa"/>
            <w:gridSpan w:val="3"/>
          </w:tcPr>
          <w:p w14:paraId="7F4C8CE6"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Monitoring interval no more</w:t>
            </w:r>
          </w:p>
          <w:p w14:paraId="36C659E7"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than ……. minutes</w:t>
            </w:r>
          </w:p>
        </w:tc>
      </w:tr>
      <w:tr w:rsidR="009D6F92" w:rsidRPr="000C4343" w14:paraId="61B4E1F3" w14:textId="77777777" w:rsidTr="007D0589">
        <w:tc>
          <w:tcPr>
            <w:tcW w:w="4454" w:type="dxa"/>
          </w:tcPr>
          <w:p w14:paraId="5DB15519"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 xml:space="preserve">17. A readily available stock of spill response material suitable for the additive is present for immediate use. </w:t>
            </w:r>
          </w:p>
        </w:tc>
        <w:tc>
          <w:tcPr>
            <w:tcW w:w="1319" w:type="dxa"/>
          </w:tcPr>
          <w:p w14:paraId="771A88E7"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50030A8A"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1FB83D75"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268" w:type="dxa"/>
            <w:gridSpan w:val="3"/>
          </w:tcPr>
          <w:p w14:paraId="7A1A6580"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Running water must be available for dilution of Class 8 substances, such as 50% sodium hydroxide.</w:t>
            </w:r>
          </w:p>
        </w:tc>
      </w:tr>
      <w:tr w:rsidR="009D6F92" w:rsidRPr="000C4343" w14:paraId="256F7D31" w14:textId="77777777" w:rsidTr="007D0589">
        <w:tc>
          <w:tcPr>
            <w:tcW w:w="4454" w:type="dxa"/>
          </w:tcPr>
          <w:p w14:paraId="734D0A41" w14:textId="77777777" w:rsidR="009D6F92"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sidRPr="190E1189">
              <w:rPr>
                <w:rFonts w:ascii="Arial" w:hAnsi="Arial"/>
                <w:color w:val="000000" w:themeColor="text1"/>
                <w:sz w:val="20"/>
                <w:szCs w:val="20"/>
              </w:rPr>
              <w:t>18. The main radio transmitter antennas are isolated and radars are switched off if a flammable additive is being bunkered.</w:t>
            </w:r>
          </w:p>
          <w:p w14:paraId="6D8F5DCA"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300E0A17"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25A5EA00"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690ECD13"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 xml:space="preserve"> </w:t>
            </w:r>
          </w:p>
        </w:tc>
        <w:tc>
          <w:tcPr>
            <w:tcW w:w="1319" w:type="dxa"/>
          </w:tcPr>
          <w:p w14:paraId="77DE5240"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27066739"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3BB2C6DB"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268" w:type="dxa"/>
            <w:gridSpan w:val="3"/>
          </w:tcPr>
          <w:p w14:paraId="54838E88"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 Not applicable</w:t>
            </w:r>
          </w:p>
          <w:p w14:paraId="55FFE27A" w14:textId="77777777" w:rsidR="009D6F92" w:rsidRPr="00853324"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lang w:val="en-US" w:eastAsia="zh-CN"/>
                <w14:ligatures w14:val="none"/>
              </w:rPr>
            </w:pPr>
          </w:p>
          <w:p w14:paraId="54A051D0"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 only required for flammable additives</w:t>
            </w:r>
          </w:p>
        </w:tc>
      </w:tr>
      <w:tr w:rsidR="009D6F92" w:rsidRPr="000C4343" w14:paraId="75D185E3" w14:textId="77777777" w:rsidTr="007D0589">
        <w:tc>
          <w:tcPr>
            <w:tcW w:w="4454" w:type="dxa"/>
          </w:tcPr>
          <w:p w14:paraId="41229878"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19. Fixed VHF/UHF transceivers and</w:t>
            </w:r>
          </w:p>
          <w:p w14:paraId="673FFB00"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sidRPr="190E1189">
              <w:rPr>
                <w:rFonts w:ascii="Arial" w:hAnsi="Arial"/>
                <w:color w:val="000000" w:themeColor="text1"/>
                <w:sz w:val="20"/>
                <w:szCs w:val="20"/>
              </w:rPr>
              <w:t>AIS equipment are set to the correct power mode or switched off during the bunkering of a flammable additive.</w:t>
            </w:r>
          </w:p>
        </w:tc>
        <w:tc>
          <w:tcPr>
            <w:tcW w:w="1319" w:type="dxa"/>
          </w:tcPr>
          <w:p w14:paraId="1C8D0CD0"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6A314AEC"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001424E4"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2268" w:type="dxa"/>
            <w:gridSpan w:val="3"/>
          </w:tcPr>
          <w:p w14:paraId="1FD7FA8C"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 Not applicable</w:t>
            </w:r>
          </w:p>
          <w:p w14:paraId="3BB39DC9" w14:textId="77777777" w:rsidR="009D6F92" w:rsidRPr="00853324"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lang w:val="en-US" w:eastAsia="zh-CN"/>
                <w14:ligatures w14:val="none"/>
              </w:rPr>
            </w:pPr>
          </w:p>
          <w:p w14:paraId="74B8EFB9"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 only required for flammable additives</w:t>
            </w:r>
          </w:p>
        </w:tc>
      </w:tr>
      <w:tr w:rsidR="009D6F92" w:rsidRPr="000C4343" w14:paraId="534AEC59" w14:textId="77777777" w:rsidTr="007D0589">
        <w:tc>
          <w:tcPr>
            <w:tcW w:w="4454" w:type="dxa"/>
          </w:tcPr>
          <w:p w14:paraId="020A5512"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sidRPr="190E1189">
              <w:rPr>
                <w:rFonts w:ascii="Arial" w:hAnsi="Arial"/>
                <w:color w:val="000000" w:themeColor="text1"/>
                <w:sz w:val="20"/>
                <w:szCs w:val="20"/>
              </w:rPr>
              <w:t>20. Smoking areas have been identified</w:t>
            </w:r>
          </w:p>
          <w:p w14:paraId="616E53E7"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and smoking restrictions are enforced.</w:t>
            </w:r>
          </w:p>
        </w:tc>
        <w:tc>
          <w:tcPr>
            <w:tcW w:w="1319" w:type="dxa"/>
          </w:tcPr>
          <w:p w14:paraId="60959FE2"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67237F36"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57D419DA"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R</w:t>
            </w:r>
          </w:p>
        </w:tc>
        <w:tc>
          <w:tcPr>
            <w:tcW w:w="2268" w:type="dxa"/>
            <w:gridSpan w:val="3"/>
          </w:tcPr>
          <w:p w14:paraId="7EF094DC"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Designated smoking areas</w:t>
            </w:r>
          </w:p>
          <w:p w14:paraId="6E8BC5DD"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tank truck:</w:t>
            </w:r>
          </w:p>
          <w:p w14:paraId="03329890"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Delivering vessel:</w:t>
            </w:r>
          </w:p>
          <w:p w14:paraId="471387BB" w14:textId="77777777" w:rsidR="009D6F92" w:rsidRPr="000C4343" w:rsidRDefault="009D6F92" w:rsidP="007D0589">
            <w:pPr>
              <w:pBdr>
                <w:top w:val="nil"/>
                <w:left w:val="nil"/>
                <w:bottom w:val="nil"/>
                <w:right w:val="nil"/>
                <w:between w:val="nil"/>
              </w:pBdr>
              <w:spacing w:after="0" w:line="240" w:lineRule="auto"/>
              <w:rPr>
                <w:rFonts w:ascii="Arial" w:eastAsia="ArialMT" w:hAnsi="Arial" w:cs="Arial"/>
                <w:color w:val="000000"/>
                <w:kern w:val="0"/>
                <w:sz w:val="20"/>
                <w:szCs w:val="20"/>
                <w14:ligatures w14:val="none"/>
              </w:rPr>
            </w:pPr>
            <w:r>
              <w:rPr>
                <w:rFonts w:ascii="Arial" w:hAnsi="Arial"/>
                <w:color w:val="000000"/>
                <w:sz w:val="20"/>
              </w:rPr>
              <w:t>Receiving vessel:</w:t>
            </w:r>
          </w:p>
        </w:tc>
      </w:tr>
      <w:tr w:rsidR="009D6F92" w:rsidRPr="000C4343" w14:paraId="5C65254E" w14:textId="77777777" w:rsidTr="007D0589">
        <w:tc>
          <w:tcPr>
            <w:tcW w:w="4454" w:type="dxa"/>
          </w:tcPr>
          <w:p w14:paraId="7C59F3E3"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sidRPr="190E1189">
              <w:rPr>
                <w:rFonts w:ascii="Arial" w:hAnsi="Arial"/>
                <w:color w:val="000000" w:themeColor="text1"/>
                <w:sz w:val="20"/>
                <w:szCs w:val="20"/>
              </w:rPr>
              <w:t>21. Regulations and procedures regarding open flames and ignition sources are strictly adhered to.</w:t>
            </w:r>
          </w:p>
        </w:tc>
        <w:tc>
          <w:tcPr>
            <w:tcW w:w="1319" w:type="dxa"/>
          </w:tcPr>
          <w:p w14:paraId="21EE3856"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1134" w:type="dxa"/>
            <w:gridSpan w:val="2"/>
          </w:tcPr>
          <w:p w14:paraId="4AF4123C"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851" w:type="dxa"/>
          </w:tcPr>
          <w:p w14:paraId="106C5D38"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R</w:t>
            </w:r>
          </w:p>
        </w:tc>
        <w:tc>
          <w:tcPr>
            <w:tcW w:w="2268" w:type="dxa"/>
            <w:gridSpan w:val="3"/>
          </w:tcPr>
          <w:p w14:paraId="2840E385"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9D6F92" w:rsidRPr="000C4343" w14:paraId="03E7F96C" w14:textId="77777777" w:rsidTr="007D0589">
        <w:tc>
          <w:tcPr>
            <w:tcW w:w="4454" w:type="dxa"/>
          </w:tcPr>
          <w:p w14:paraId="2F54FFD2"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22. All external doors and windows in the</w:t>
            </w:r>
          </w:p>
          <w:p w14:paraId="6AE6F700"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 xml:space="preserve">accommodation areas are closed. </w:t>
            </w:r>
          </w:p>
        </w:tc>
        <w:tc>
          <w:tcPr>
            <w:tcW w:w="1319" w:type="dxa"/>
          </w:tcPr>
          <w:p w14:paraId="399EA16D"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134" w:type="dxa"/>
            <w:gridSpan w:val="2"/>
          </w:tcPr>
          <w:p w14:paraId="15A3B821"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851" w:type="dxa"/>
          </w:tcPr>
          <w:p w14:paraId="44DB822F"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R</w:t>
            </w:r>
          </w:p>
        </w:tc>
        <w:tc>
          <w:tcPr>
            <w:tcW w:w="2268" w:type="dxa"/>
            <w:gridSpan w:val="3"/>
          </w:tcPr>
          <w:p w14:paraId="341E27C1"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bl>
    <w:p w14:paraId="755863B2" w14:textId="77777777" w:rsidR="009D6F92" w:rsidRDefault="009D6F92" w:rsidP="009D6F92">
      <w:pPr>
        <w:pBdr>
          <w:top w:val="nil"/>
          <w:left w:val="nil"/>
          <w:bottom w:val="nil"/>
          <w:right w:val="nil"/>
          <w:between w:val="nil"/>
        </w:pBdr>
        <w:spacing w:after="0" w:line="240" w:lineRule="auto"/>
        <w:jc w:val="center"/>
        <w:rPr>
          <w:rFonts w:ascii="Arial" w:hAnsi="Arial"/>
          <w:b/>
          <w:color w:val="000000"/>
          <w:sz w:val="20"/>
        </w:rPr>
      </w:pPr>
    </w:p>
    <w:p w14:paraId="210EC902" w14:textId="77777777" w:rsidR="009D6F92" w:rsidRDefault="009D6F92" w:rsidP="009D6F92">
      <w:pPr>
        <w:pBdr>
          <w:top w:val="nil"/>
          <w:left w:val="nil"/>
          <w:bottom w:val="nil"/>
          <w:right w:val="nil"/>
          <w:between w:val="nil"/>
        </w:pBdr>
        <w:spacing w:after="0" w:line="240" w:lineRule="auto"/>
        <w:jc w:val="center"/>
        <w:rPr>
          <w:rFonts w:ascii="Arial" w:hAnsi="Arial"/>
          <w:b/>
          <w:color w:val="000000"/>
          <w:sz w:val="20"/>
        </w:rPr>
      </w:pPr>
    </w:p>
    <w:p w14:paraId="3612E7EE" w14:textId="77777777" w:rsidR="009D6F92" w:rsidRDefault="009D6F92" w:rsidP="009D6F92">
      <w:pPr>
        <w:pBdr>
          <w:top w:val="nil"/>
          <w:left w:val="nil"/>
          <w:bottom w:val="nil"/>
          <w:right w:val="nil"/>
          <w:between w:val="nil"/>
        </w:pBdr>
        <w:spacing w:after="0" w:line="240" w:lineRule="auto"/>
        <w:jc w:val="center"/>
        <w:rPr>
          <w:rFonts w:ascii="Arial" w:hAnsi="Arial"/>
          <w:b/>
          <w:color w:val="000000"/>
          <w:sz w:val="20"/>
        </w:rPr>
      </w:pPr>
    </w:p>
    <w:p w14:paraId="42E30412" w14:textId="77777777" w:rsidR="009D6F92" w:rsidRDefault="009D6F92" w:rsidP="009D6F92">
      <w:pPr>
        <w:pBdr>
          <w:top w:val="nil"/>
          <w:left w:val="nil"/>
          <w:bottom w:val="nil"/>
          <w:right w:val="nil"/>
          <w:between w:val="nil"/>
        </w:pBdr>
        <w:spacing w:after="0" w:line="240" w:lineRule="auto"/>
        <w:jc w:val="center"/>
        <w:rPr>
          <w:rFonts w:ascii="Arial" w:hAnsi="Arial"/>
          <w:b/>
          <w:color w:val="000000"/>
          <w:sz w:val="20"/>
        </w:rPr>
      </w:pPr>
    </w:p>
    <w:p w14:paraId="57540B13" w14:textId="77777777" w:rsidR="009D6F92" w:rsidRDefault="009D6F92" w:rsidP="009D6F92">
      <w:pPr>
        <w:pBdr>
          <w:top w:val="nil"/>
          <w:left w:val="nil"/>
          <w:bottom w:val="nil"/>
          <w:right w:val="nil"/>
          <w:between w:val="nil"/>
        </w:pBdr>
        <w:spacing w:after="0" w:line="240" w:lineRule="auto"/>
        <w:jc w:val="center"/>
        <w:rPr>
          <w:rFonts w:ascii="Arial" w:hAnsi="Arial"/>
          <w:b/>
          <w:color w:val="000000"/>
          <w:sz w:val="20"/>
        </w:rPr>
      </w:pPr>
    </w:p>
    <w:p w14:paraId="18C8DC27" w14:textId="77777777" w:rsidR="009D6F92" w:rsidRDefault="009D6F92" w:rsidP="009D6F92">
      <w:pPr>
        <w:pBdr>
          <w:top w:val="nil"/>
          <w:left w:val="nil"/>
          <w:bottom w:val="nil"/>
          <w:right w:val="nil"/>
          <w:between w:val="nil"/>
        </w:pBdr>
        <w:spacing w:after="0" w:line="240" w:lineRule="auto"/>
        <w:jc w:val="center"/>
        <w:rPr>
          <w:rFonts w:ascii="Arial" w:hAnsi="Arial"/>
          <w:b/>
          <w:color w:val="000000"/>
          <w:sz w:val="20"/>
        </w:rPr>
      </w:pPr>
    </w:p>
    <w:p w14:paraId="1642DF81" w14:textId="77777777" w:rsidR="009D6F92" w:rsidRDefault="009D6F92" w:rsidP="009D6F92">
      <w:pPr>
        <w:pBdr>
          <w:top w:val="nil"/>
          <w:left w:val="nil"/>
          <w:bottom w:val="nil"/>
          <w:right w:val="nil"/>
          <w:between w:val="nil"/>
        </w:pBdr>
        <w:spacing w:after="0" w:line="240" w:lineRule="auto"/>
        <w:jc w:val="center"/>
        <w:rPr>
          <w:rFonts w:ascii="Arial" w:hAnsi="Arial"/>
          <w:b/>
          <w:color w:val="000000"/>
          <w:sz w:val="20"/>
        </w:rPr>
      </w:pPr>
    </w:p>
    <w:p w14:paraId="718994D8" w14:textId="77777777" w:rsidR="009D6F92" w:rsidRDefault="009D6F92" w:rsidP="009D6F92">
      <w:pPr>
        <w:pBdr>
          <w:top w:val="nil"/>
          <w:left w:val="nil"/>
          <w:bottom w:val="nil"/>
          <w:right w:val="nil"/>
          <w:between w:val="nil"/>
        </w:pBdr>
        <w:spacing w:after="0" w:line="240" w:lineRule="auto"/>
        <w:jc w:val="center"/>
        <w:rPr>
          <w:rFonts w:ascii="Arial" w:hAnsi="Arial"/>
          <w:b/>
          <w:color w:val="000000"/>
          <w:sz w:val="20"/>
        </w:rPr>
      </w:pPr>
    </w:p>
    <w:p w14:paraId="56DC94E4" w14:textId="77777777" w:rsidR="009D6F92" w:rsidRDefault="009D6F92" w:rsidP="009D6F92">
      <w:pPr>
        <w:pBdr>
          <w:top w:val="nil"/>
          <w:left w:val="nil"/>
          <w:bottom w:val="nil"/>
          <w:right w:val="nil"/>
          <w:between w:val="nil"/>
        </w:pBdr>
        <w:spacing w:after="0" w:line="240" w:lineRule="auto"/>
        <w:jc w:val="center"/>
        <w:rPr>
          <w:rFonts w:ascii="Arial" w:hAnsi="Arial"/>
          <w:b/>
          <w:color w:val="000000"/>
          <w:sz w:val="20"/>
        </w:rPr>
      </w:pPr>
    </w:p>
    <w:p w14:paraId="30C2B949" w14:textId="77777777" w:rsidR="009D6F92" w:rsidRDefault="009D6F92" w:rsidP="009D6F92">
      <w:pPr>
        <w:pBdr>
          <w:top w:val="nil"/>
          <w:left w:val="nil"/>
          <w:bottom w:val="nil"/>
          <w:right w:val="nil"/>
          <w:between w:val="nil"/>
        </w:pBdr>
        <w:spacing w:after="0" w:line="240" w:lineRule="auto"/>
        <w:rPr>
          <w:rFonts w:ascii="Arial" w:hAnsi="Arial"/>
          <w:b/>
          <w:color w:val="000000"/>
          <w:sz w:val="20"/>
        </w:rPr>
      </w:pPr>
    </w:p>
    <w:p w14:paraId="0A815D23" w14:textId="77777777" w:rsidR="009D6F92" w:rsidRDefault="009D6F92" w:rsidP="009D6F92">
      <w:pPr>
        <w:pBdr>
          <w:top w:val="nil"/>
          <w:left w:val="nil"/>
          <w:bottom w:val="nil"/>
          <w:right w:val="nil"/>
          <w:between w:val="nil"/>
        </w:pBdr>
        <w:spacing w:after="0" w:line="240" w:lineRule="auto"/>
        <w:jc w:val="center"/>
        <w:rPr>
          <w:rFonts w:ascii="Arial" w:hAnsi="Arial"/>
          <w:b/>
          <w:color w:val="000000"/>
          <w:sz w:val="20"/>
        </w:rPr>
      </w:pPr>
    </w:p>
    <w:p w14:paraId="5AF59E18" w14:textId="4F421B01" w:rsidR="009D6F92" w:rsidRPr="000C4343" w:rsidRDefault="009D6F92" w:rsidP="009D6F92">
      <w:pPr>
        <w:pBdr>
          <w:top w:val="nil"/>
          <w:left w:val="nil"/>
          <w:bottom w:val="nil"/>
          <w:right w:val="nil"/>
          <w:between w:val="nil"/>
        </w:pBdr>
        <w:spacing w:after="0" w:line="240" w:lineRule="auto"/>
        <w:jc w:val="center"/>
        <w:rPr>
          <w:rFonts w:ascii="Arial" w:eastAsia="Calibri" w:hAnsi="Arial" w:cs="Arial"/>
          <w:color w:val="000000"/>
          <w:kern w:val="0"/>
          <w:sz w:val="20"/>
          <w:szCs w:val="20"/>
          <w14:ligatures w14:val="none"/>
        </w:rPr>
      </w:pPr>
      <w:r>
        <w:rPr>
          <w:rFonts w:ascii="Arial" w:hAnsi="Arial"/>
          <w:b/>
          <w:color w:val="000000"/>
          <w:sz w:val="20"/>
        </w:rPr>
        <w:t>DECLARATION</w:t>
      </w:r>
    </w:p>
    <w:p w14:paraId="1BBEF76E" w14:textId="77777777" w:rsidR="009D6F92" w:rsidRDefault="009D6F92" w:rsidP="009D6F92">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7023209E" w14:textId="77777777" w:rsidR="009D6F92" w:rsidRPr="000C4343" w:rsidRDefault="009D6F92" w:rsidP="009D6F92">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08270258" w14:textId="77777777" w:rsidR="009D6F92" w:rsidRPr="000C4343" w:rsidRDefault="009D6F92" w:rsidP="009D6F92">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sidRPr="190E1189">
        <w:rPr>
          <w:rFonts w:ascii="Arial" w:hAnsi="Arial"/>
          <w:color w:val="000000" w:themeColor="text1"/>
          <w:sz w:val="20"/>
          <w:szCs w:val="20"/>
        </w:rPr>
        <w:t xml:space="preserve">We have, jointly where applicable, reviewed the items on the checklist in accordance with the instructions and have verified that the entries have been made to the best of our knowledge. </w:t>
      </w:r>
    </w:p>
    <w:p w14:paraId="5B91931A"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7AC541EE" w14:textId="77777777" w:rsidR="009D6F92" w:rsidRPr="000C4343" w:rsidRDefault="009D6F92" w:rsidP="009D6F92">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We have also agreed to carry out any necessary rechecks and have confirmed</w:t>
      </w:r>
    </w:p>
    <w:p w14:paraId="7C7F4077" w14:textId="77777777" w:rsidR="009D6F92" w:rsidRPr="000C4343" w:rsidRDefault="009D6F92" w:rsidP="009D6F92">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that the items coded ‘R’ in the checklist will be rechecked at intervals not exceeding _____ hours.</w:t>
      </w:r>
    </w:p>
    <w:p w14:paraId="38D922EC"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7D1D7DCA" w14:textId="77777777" w:rsidR="009D6F92" w:rsidRPr="000C4343" w:rsidRDefault="009D6F92" w:rsidP="009D6F92">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sidRPr="190E1189">
        <w:rPr>
          <w:rFonts w:ascii="Arial" w:hAnsi="Arial"/>
          <w:color w:val="000000" w:themeColor="text1"/>
          <w:sz w:val="20"/>
          <w:szCs w:val="20"/>
        </w:rPr>
        <w:t>If, to the best of our knowledge, the status of any item changes, we will immediately notify the other party.</w:t>
      </w:r>
    </w:p>
    <w:p w14:paraId="6F6FA837"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9D6F92" w:rsidRPr="000C4343" w14:paraId="759BE6F2" w14:textId="77777777" w:rsidTr="007D0589">
        <w:tc>
          <w:tcPr>
            <w:tcW w:w="4606" w:type="dxa"/>
            <w:vAlign w:val="center"/>
          </w:tcPr>
          <w:p w14:paraId="29952D4F" w14:textId="77777777" w:rsidR="009D6F92" w:rsidRPr="000C4343" w:rsidRDefault="009D6F92" w:rsidP="007D0589">
            <w:pPr>
              <w:pBdr>
                <w:top w:val="nil"/>
                <w:left w:val="nil"/>
                <w:bottom w:val="nil"/>
                <w:right w:val="nil"/>
                <w:between w:val="nil"/>
              </w:pBdr>
              <w:spacing w:after="0" w:line="240" w:lineRule="auto"/>
              <w:jc w:val="center"/>
              <w:rPr>
                <w:rFonts w:ascii="Arial" w:eastAsia="Calibri" w:hAnsi="Arial" w:cs="Arial"/>
                <w:color w:val="000000"/>
                <w:kern w:val="0"/>
                <w:sz w:val="20"/>
                <w:szCs w:val="20"/>
                <w14:ligatures w14:val="none"/>
              </w:rPr>
            </w:pPr>
            <w:r>
              <w:rPr>
                <w:rFonts w:ascii="Arial" w:hAnsi="Arial"/>
                <w:color w:val="000000"/>
                <w:sz w:val="20"/>
              </w:rPr>
              <w:t>For the receiving vessel</w:t>
            </w:r>
          </w:p>
        </w:tc>
        <w:tc>
          <w:tcPr>
            <w:tcW w:w="4606" w:type="dxa"/>
            <w:vAlign w:val="center"/>
          </w:tcPr>
          <w:p w14:paraId="5AF7F5C1" w14:textId="77777777" w:rsidR="009D6F92" w:rsidRPr="000C4343" w:rsidRDefault="009D6F92" w:rsidP="007D0589">
            <w:pPr>
              <w:pBdr>
                <w:top w:val="nil"/>
                <w:left w:val="nil"/>
                <w:bottom w:val="nil"/>
                <w:right w:val="nil"/>
                <w:between w:val="nil"/>
              </w:pBdr>
              <w:spacing w:after="0" w:line="240" w:lineRule="auto"/>
              <w:jc w:val="center"/>
              <w:rPr>
                <w:rFonts w:ascii="Arial" w:eastAsia="Calibri" w:hAnsi="Arial" w:cs="Arial"/>
                <w:color w:val="000000"/>
                <w:kern w:val="0"/>
                <w:sz w:val="20"/>
                <w:szCs w:val="20"/>
                <w14:ligatures w14:val="none"/>
              </w:rPr>
            </w:pPr>
            <w:r>
              <w:rPr>
                <w:rFonts w:ascii="Arial" w:hAnsi="Arial"/>
                <w:color w:val="000000"/>
                <w:sz w:val="20"/>
              </w:rPr>
              <w:t>For the delivering vessel</w:t>
            </w:r>
          </w:p>
        </w:tc>
      </w:tr>
      <w:tr w:rsidR="009D6F92" w:rsidRPr="000C4343" w14:paraId="3F722829" w14:textId="77777777" w:rsidTr="007D0589">
        <w:tc>
          <w:tcPr>
            <w:tcW w:w="4606" w:type="dxa"/>
          </w:tcPr>
          <w:p w14:paraId="78F7B916"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528485D7"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Name</w:t>
            </w:r>
            <w:r>
              <w:rPr>
                <w:rFonts w:ascii="Arial" w:hAnsi="Arial"/>
                <w:color w:val="000000"/>
                <w:sz w:val="20"/>
              </w:rPr>
              <w:tab/>
            </w:r>
            <w:r>
              <w:rPr>
                <w:rFonts w:ascii="Arial" w:hAnsi="Arial"/>
                <w:color w:val="000000"/>
                <w:sz w:val="20"/>
              </w:rPr>
              <w:tab/>
            </w:r>
            <w:r>
              <w:rPr>
                <w:rFonts w:ascii="Arial" w:hAnsi="Arial"/>
                <w:color w:val="000000"/>
                <w:sz w:val="20"/>
                <w:u w:val="single"/>
              </w:rPr>
              <w:tab/>
            </w:r>
            <w:r>
              <w:rPr>
                <w:rFonts w:ascii="Arial" w:hAnsi="Arial"/>
                <w:color w:val="000000"/>
                <w:sz w:val="20"/>
                <w:u w:val="single"/>
              </w:rPr>
              <w:tab/>
            </w:r>
          </w:p>
          <w:p w14:paraId="410F64E5"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069E6C3A"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Rank</w:t>
            </w:r>
            <w:r>
              <w:rPr>
                <w:rFonts w:ascii="Arial" w:hAnsi="Arial"/>
                <w:color w:val="000000"/>
                <w:sz w:val="20"/>
              </w:rPr>
              <w:tab/>
            </w:r>
            <w:r>
              <w:rPr>
                <w:rFonts w:ascii="Arial" w:hAnsi="Arial"/>
                <w:color w:val="000000"/>
                <w:sz w:val="20"/>
              </w:rPr>
              <w:tab/>
            </w:r>
            <w:r>
              <w:rPr>
                <w:rFonts w:ascii="Arial" w:hAnsi="Arial"/>
                <w:color w:val="000000"/>
                <w:sz w:val="20"/>
                <w:u w:val="single"/>
              </w:rPr>
              <w:tab/>
            </w:r>
            <w:r>
              <w:rPr>
                <w:rFonts w:ascii="Arial" w:hAnsi="Arial"/>
                <w:color w:val="000000"/>
                <w:sz w:val="20"/>
                <w:u w:val="single"/>
              </w:rPr>
              <w:tab/>
            </w:r>
          </w:p>
          <w:p w14:paraId="06AAA80B"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5BFD5F99"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Signature</w:t>
            </w:r>
            <w:r>
              <w:rPr>
                <w:rFonts w:ascii="Arial" w:hAnsi="Arial"/>
                <w:color w:val="000000"/>
                <w:sz w:val="20"/>
              </w:rPr>
              <w:tab/>
            </w:r>
            <w:r>
              <w:rPr>
                <w:rFonts w:ascii="Arial" w:hAnsi="Arial"/>
                <w:color w:val="000000"/>
                <w:sz w:val="20"/>
                <w:u w:val="single"/>
              </w:rPr>
              <w:tab/>
            </w:r>
            <w:r>
              <w:rPr>
                <w:rFonts w:ascii="Arial" w:hAnsi="Arial"/>
                <w:color w:val="000000"/>
                <w:sz w:val="20"/>
                <w:u w:val="single"/>
              </w:rPr>
              <w:tab/>
            </w:r>
          </w:p>
          <w:p w14:paraId="224953DD"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7223129C"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Date</w:t>
            </w:r>
            <w:r>
              <w:rPr>
                <w:rFonts w:ascii="Arial" w:hAnsi="Arial"/>
                <w:color w:val="000000"/>
                <w:sz w:val="20"/>
              </w:rPr>
              <w:tab/>
            </w:r>
            <w:r>
              <w:rPr>
                <w:rFonts w:ascii="Arial" w:hAnsi="Arial"/>
                <w:color w:val="000000"/>
                <w:sz w:val="20"/>
              </w:rPr>
              <w:tab/>
            </w:r>
            <w:r>
              <w:rPr>
                <w:rFonts w:ascii="Arial" w:hAnsi="Arial"/>
                <w:color w:val="000000"/>
                <w:sz w:val="20"/>
                <w:u w:val="single"/>
              </w:rPr>
              <w:tab/>
            </w:r>
            <w:r>
              <w:rPr>
                <w:rFonts w:ascii="Arial" w:hAnsi="Arial"/>
                <w:color w:val="000000"/>
                <w:sz w:val="20"/>
                <w:u w:val="single"/>
              </w:rPr>
              <w:tab/>
            </w:r>
          </w:p>
          <w:p w14:paraId="468DD5E5"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4A538955"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rPr>
              <w:t>Time</w:t>
            </w:r>
            <w:r>
              <w:rPr>
                <w:rFonts w:ascii="Arial" w:hAnsi="Arial"/>
                <w:color w:val="000000"/>
                <w:sz w:val="20"/>
              </w:rPr>
              <w:tab/>
            </w:r>
            <w:r>
              <w:rPr>
                <w:rFonts w:ascii="Arial" w:hAnsi="Arial"/>
                <w:color w:val="000000"/>
                <w:sz w:val="20"/>
              </w:rPr>
              <w:tab/>
            </w:r>
            <w:r>
              <w:rPr>
                <w:rFonts w:ascii="Arial" w:hAnsi="Arial"/>
                <w:color w:val="000000"/>
                <w:sz w:val="20"/>
                <w:u w:val="single"/>
              </w:rPr>
              <w:tab/>
            </w:r>
            <w:r>
              <w:rPr>
                <w:rFonts w:ascii="Arial" w:hAnsi="Arial"/>
                <w:color w:val="000000"/>
                <w:sz w:val="20"/>
                <w:u w:val="single"/>
              </w:rPr>
              <w:tab/>
            </w:r>
          </w:p>
          <w:p w14:paraId="01C8653D"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4606" w:type="dxa"/>
          </w:tcPr>
          <w:p w14:paraId="7FE08316"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6311F075"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rPr>
              <w:t>Name</w:t>
            </w:r>
            <w:r>
              <w:rPr>
                <w:rFonts w:ascii="Arial" w:hAnsi="Arial"/>
                <w:color w:val="000000"/>
                <w:sz w:val="20"/>
              </w:rPr>
              <w:tab/>
            </w:r>
            <w:r>
              <w:rPr>
                <w:rFonts w:ascii="Arial" w:hAnsi="Arial"/>
                <w:color w:val="000000"/>
                <w:sz w:val="20"/>
              </w:rPr>
              <w:tab/>
            </w:r>
            <w:r>
              <w:rPr>
                <w:rFonts w:ascii="Arial" w:hAnsi="Arial"/>
                <w:color w:val="000000"/>
                <w:sz w:val="20"/>
                <w:u w:val="single"/>
              </w:rPr>
              <w:tab/>
            </w:r>
            <w:r>
              <w:rPr>
                <w:rFonts w:ascii="Arial" w:hAnsi="Arial"/>
                <w:color w:val="000000"/>
                <w:sz w:val="20"/>
                <w:u w:val="single"/>
              </w:rPr>
              <w:tab/>
            </w:r>
          </w:p>
          <w:p w14:paraId="4242A706"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120E67F3"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rPr>
              <w:t>Rank</w:t>
            </w:r>
            <w:r>
              <w:rPr>
                <w:rFonts w:ascii="Arial" w:hAnsi="Arial"/>
                <w:color w:val="000000"/>
                <w:sz w:val="20"/>
              </w:rPr>
              <w:tab/>
            </w:r>
            <w:r>
              <w:rPr>
                <w:rFonts w:ascii="Arial" w:hAnsi="Arial"/>
                <w:color w:val="000000"/>
                <w:sz w:val="20"/>
              </w:rPr>
              <w:tab/>
            </w:r>
            <w:r>
              <w:rPr>
                <w:rFonts w:ascii="Arial" w:hAnsi="Arial"/>
                <w:color w:val="000000"/>
                <w:sz w:val="20"/>
                <w:u w:val="single"/>
              </w:rPr>
              <w:tab/>
            </w:r>
            <w:r>
              <w:rPr>
                <w:rFonts w:ascii="Arial" w:hAnsi="Arial"/>
                <w:color w:val="000000"/>
                <w:sz w:val="20"/>
                <w:u w:val="single"/>
              </w:rPr>
              <w:tab/>
            </w:r>
          </w:p>
          <w:p w14:paraId="4DB695CA"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709D4F48"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rPr>
              <w:t>Signature</w:t>
            </w:r>
            <w:r>
              <w:rPr>
                <w:rFonts w:ascii="Arial" w:hAnsi="Arial"/>
                <w:color w:val="000000"/>
                <w:sz w:val="20"/>
              </w:rPr>
              <w:tab/>
            </w:r>
            <w:r>
              <w:rPr>
                <w:rFonts w:ascii="Arial" w:hAnsi="Arial"/>
                <w:color w:val="000000"/>
                <w:sz w:val="20"/>
                <w:u w:val="single"/>
              </w:rPr>
              <w:tab/>
            </w:r>
            <w:r>
              <w:rPr>
                <w:rFonts w:ascii="Arial" w:hAnsi="Arial"/>
                <w:color w:val="000000"/>
                <w:sz w:val="20"/>
                <w:u w:val="single"/>
              </w:rPr>
              <w:tab/>
            </w:r>
          </w:p>
          <w:p w14:paraId="5DF76262"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768632B9"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rPr>
              <w:t>Date</w:t>
            </w:r>
            <w:r>
              <w:rPr>
                <w:rFonts w:ascii="Arial" w:hAnsi="Arial"/>
                <w:color w:val="000000"/>
                <w:sz w:val="20"/>
              </w:rPr>
              <w:tab/>
            </w:r>
            <w:r>
              <w:rPr>
                <w:rFonts w:ascii="Arial" w:hAnsi="Arial"/>
                <w:color w:val="000000"/>
                <w:sz w:val="20"/>
              </w:rPr>
              <w:tab/>
            </w:r>
            <w:r>
              <w:rPr>
                <w:rFonts w:ascii="Arial" w:hAnsi="Arial"/>
                <w:color w:val="000000"/>
                <w:sz w:val="20"/>
                <w:u w:val="single"/>
              </w:rPr>
              <w:tab/>
            </w:r>
            <w:r>
              <w:rPr>
                <w:rFonts w:ascii="Arial" w:hAnsi="Arial"/>
                <w:color w:val="000000"/>
                <w:sz w:val="20"/>
                <w:u w:val="single"/>
              </w:rPr>
              <w:tab/>
            </w:r>
          </w:p>
          <w:p w14:paraId="1554DD58"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p w14:paraId="73BC2F70"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14:ligatures w14:val="none"/>
              </w:rPr>
            </w:pPr>
            <w:r>
              <w:rPr>
                <w:rFonts w:ascii="Arial" w:hAnsi="Arial"/>
                <w:color w:val="000000"/>
                <w:sz w:val="20"/>
              </w:rPr>
              <w:t>Time</w:t>
            </w:r>
            <w:r>
              <w:rPr>
                <w:rFonts w:ascii="Arial" w:hAnsi="Arial"/>
                <w:color w:val="000000"/>
                <w:sz w:val="20"/>
              </w:rPr>
              <w:tab/>
            </w:r>
            <w:r>
              <w:rPr>
                <w:rFonts w:ascii="Arial" w:hAnsi="Arial"/>
                <w:color w:val="000000"/>
                <w:sz w:val="20"/>
              </w:rPr>
              <w:tab/>
            </w:r>
            <w:r>
              <w:rPr>
                <w:rFonts w:ascii="Arial" w:hAnsi="Arial"/>
                <w:color w:val="000000"/>
                <w:sz w:val="20"/>
                <w:u w:val="single"/>
              </w:rPr>
              <w:tab/>
            </w:r>
            <w:r>
              <w:rPr>
                <w:rFonts w:ascii="Arial" w:hAnsi="Arial"/>
                <w:color w:val="000000"/>
                <w:sz w:val="20"/>
                <w:u w:val="single"/>
              </w:rPr>
              <w:tab/>
            </w:r>
          </w:p>
          <w:p w14:paraId="1574DDEA"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r w:rsidR="009D6F92" w:rsidRPr="000C4343" w14:paraId="3143E735" w14:textId="77777777" w:rsidTr="007D0589">
        <w:tc>
          <w:tcPr>
            <w:tcW w:w="4606" w:type="dxa"/>
          </w:tcPr>
          <w:p w14:paraId="197B71AE"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c>
          <w:tcPr>
            <w:tcW w:w="4606" w:type="dxa"/>
          </w:tcPr>
          <w:p w14:paraId="2FC4F050" w14:textId="77777777" w:rsidR="009D6F92" w:rsidRPr="00853324"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en-US" w:eastAsia="zh-CN"/>
                <w14:ligatures w14:val="none"/>
              </w:rPr>
            </w:pPr>
          </w:p>
        </w:tc>
      </w:tr>
    </w:tbl>
    <w:p w14:paraId="1509B44C" w14:textId="77777777" w:rsidR="009D6F92" w:rsidRPr="00853324" w:rsidRDefault="009D6F92" w:rsidP="009D6F92">
      <w:pPr>
        <w:pBdr>
          <w:top w:val="nil"/>
          <w:left w:val="nil"/>
          <w:bottom w:val="nil"/>
          <w:right w:val="nil"/>
          <w:between w:val="nil"/>
        </w:pBdr>
        <w:spacing w:after="0" w:line="240" w:lineRule="auto"/>
        <w:rPr>
          <w:rFonts w:ascii="Arial" w:eastAsia="Calibri" w:hAnsi="Arial" w:cs="Arial"/>
          <w:b/>
          <w:color w:val="000000"/>
          <w:kern w:val="0"/>
          <w:sz w:val="20"/>
          <w:szCs w:val="20"/>
          <w:lang w:val="en-US" w:eastAsia="zh-CN"/>
          <w14:ligatures w14:val="none"/>
        </w:rPr>
      </w:pPr>
    </w:p>
    <w:p w14:paraId="30568B7F" w14:textId="77777777" w:rsidR="009D6F92" w:rsidRPr="000C4343" w:rsidRDefault="009D6F92" w:rsidP="009D6F92">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b/>
          <w:color w:val="000000"/>
          <w:sz w:val="20"/>
        </w:rPr>
        <w:t>Registration of repeated checks:</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3"/>
        <w:gridCol w:w="2303"/>
        <w:gridCol w:w="2303"/>
        <w:gridCol w:w="2303"/>
      </w:tblGrid>
      <w:tr w:rsidR="009D6F92" w:rsidRPr="000C4343" w14:paraId="3CF12C9F" w14:textId="77777777" w:rsidTr="007D0589">
        <w:tc>
          <w:tcPr>
            <w:tcW w:w="2303" w:type="dxa"/>
            <w:vAlign w:val="center"/>
          </w:tcPr>
          <w:p w14:paraId="03325058"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Date:</w:t>
            </w:r>
          </w:p>
          <w:p w14:paraId="3C410534"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25716F71"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0BCCFA7A"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51B1C52E"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2BE64BA8"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9D6F92" w:rsidRPr="000C4343" w14:paraId="2528169D" w14:textId="77777777" w:rsidTr="007D0589">
        <w:tc>
          <w:tcPr>
            <w:tcW w:w="2303" w:type="dxa"/>
            <w:vAlign w:val="center"/>
          </w:tcPr>
          <w:p w14:paraId="0B499945"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Time:</w:t>
            </w:r>
          </w:p>
          <w:p w14:paraId="2189A6D0"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38D13CA0"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4E0F8F68"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45FD54FC"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22B216F9"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9D6F92" w:rsidRPr="000C4343" w14:paraId="6A3785C9" w14:textId="77777777" w:rsidTr="007D0589">
        <w:tc>
          <w:tcPr>
            <w:tcW w:w="2303" w:type="dxa"/>
            <w:vAlign w:val="center"/>
          </w:tcPr>
          <w:p w14:paraId="0DF85BCE"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14:ligatures w14:val="none"/>
              </w:rPr>
            </w:pPr>
            <w:r>
              <w:rPr>
                <w:rFonts w:ascii="Arial" w:hAnsi="Arial"/>
                <w:color w:val="000000"/>
                <w:sz w:val="20"/>
              </w:rPr>
              <w:t>Initials receiving vessel:</w:t>
            </w:r>
          </w:p>
          <w:p w14:paraId="0BE6AE5A"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2BBB753C"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518D3DA9"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32836572"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75D79336"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9D6F92" w:rsidRPr="000C4343" w14:paraId="08CBE36B" w14:textId="77777777" w:rsidTr="007D0589">
        <w:tc>
          <w:tcPr>
            <w:tcW w:w="2303" w:type="dxa"/>
            <w:vAlign w:val="center"/>
          </w:tcPr>
          <w:p w14:paraId="6F1463EE" w14:textId="77777777" w:rsidR="009D6F92" w:rsidRPr="000C4343" w:rsidRDefault="009D6F92" w:rsidP="007D0589">
            <w:pPr>
              <w:pBdr>
                <w:top w:val="nil"/>
                <w:left w:val="nil"/>
                <w:bottom w:val="nil"/>
                <w:right w:val="nil"/>
                <w:between w:val="nil"/>
              </w:pBdr>
              <w:spacing w:after="200" w:line="276" w:lineRule="auto"/>
              <w:rPr>
                <w:rFonts w:ascii="Arial" w:eastAsia="Calibri" w:hAnsi="Arial" w:cs="Arial"/>
                <w:color w:val="000000"/>
                <w:kern w:val="0"/>
                <w:sz w:val="20"/>
                <w:szCs w:val="20"/>
                <w14:ligatures w14:val="none"/>
              </w:rPr>
            </w:pPr>
            <w:r>
              <w:rPr>
                <w:rFonts w:ascii="Arial" w:hAnsi="Arial"/>
                <w:color w:val="000000"/>
                <w:sz w:val="20"/>
              </w:rPr>
              <w:t>Initials delivering vessel</w:t>
            </w:r>
          </w:p>
          <w:p w14:paraId="7C4AA196"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5625E8B5"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075D5348"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2250975F" w14:textId="77777777" w:rsidR="009D6F92" w:rsidRPr="000C4343" w:rsidRDefault="009D6F92"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bl>
    <w:p w14:paraId="10E0336D" w14:textId="77777777" w:rsidR="009D6F92" w:rsidRPr="00317DD7" w:rsidRDefault="009D6F92" w:rsidP="009D6F92">
      <w:pPr>
        <w:spacing w:after="0" w:line="240" w:lineRule="auto"/>
        <w:textAlignment w:val="baseline"/>
        <w:rPr>
          <w:rFonts w:ascii="Arial" w:eastAsia="Times New Roman" w:hAnsi="Arial" w:cs="Arial"/>
          <w:kern w:val="0"/>
          <w:sz w:val="18"/>
          <w:szCs w:val="18"/>
          <w:lang w:eastAsia="nl-NL"/>
          <w14:ligatures w14:val="none"/>
        </w:rPr>
      </w:pPr>
    </w:p>
    <w:p w14:paraId="64758CAC" w14:textId="77777777" w:rsidR="00551F21" w:rsidRDefault="00551F21"/>
    <w:sectPr w:rsidR="00551F21" w:rsidSect="009D6F92">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4BA1" w14:textId="77777777" w:rsidR="00E050D6" w:rsidRDefault="00E050D6">
      <w:pPr>
        <w:spacing w:after="0" w:line="240" w:lineRule="auto"/>
      </w:pPr>
      <w:r>
        <w:separator/>
      </w:r>
    </w:p>
  </w:endnote>
  <w:endnote w:type="continuationSeparator" w:id="0">
    <w:p w14:paraId="0A020E6C" w14:textId="77777777" w:rsidR="00E050D6" w:rsidRDefault="00E0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Medium">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E595" w14:textId="77777777" w:rsidR="00E050D6" w:rsidRDefault="00E050D6">
      <w:pPr>
        <w:spacing w:after="0" w:line="240" w:lineRule="auto"/>
      </w:pPr>
      <w:r>
        <w:separator/>
      </w:r>
    </w:p>
  </w:footnote>
  <w:footnote w:type="continuationSeparator" w:id="0">
    <w:p w14:paraId="1443D58B" w14:textId="77777777" w:rsidR="00E050D6" w:rsidRDefault="00E0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8EE1" w14:textId="77777777" w:rsidR="009D6F92" w:rsidRDefault="009D6F92">
    <w:pPr>
      <w:pStyle w:val="Koptekst"/>
    </w:pPr>
    <w:r>
      <w:rPr>
        <w:b/>
        <w:noProof/>
        <w:sz w:val="26"/>
      </w:rPr>
      <w:drawing>
        <wp:inline distT="0" distB="0" distL="0" distR="0" wp14:anchorId="6A851D4E" wp14:editId="0FC21C18">
          <wp:extent cx="2329180" cy="567055"/>
          <wp:effectExtent l="0" t="0" r="0" b="4445"/>
          <wp:docPr id="1" name="Afbeelding 1" descr="Afbeelding met Lettertype, Graphics,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chermopname,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5670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148A" w14:textId="77777777" w:rsidR="009D6F92" w:rsidRDefault="009D6F92">
    <w:pPr>
      <w:pStyle w:val="Koptekst"/>
    </w:pPr>
    <w:r>
      <w:rPr>
        <w:noProof/>
      </w:rPr>
      <w:drawing>
        <wp:inline distT="0" distB="0" distL="0" distR="0" wp14:anchorId="24BC87A2" wp14:editId="6FAC0D31">
          <wp:extent cx="2329180" cy="567055"/>
          <wp:effectExtent l="0" t="0" r="0" b="4445"/>
          <wp:docPr id="10752663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ABD"/>
    <w:multiLevelType w:val="multilevel"/>
    <w:tmpl w:val="3950FA70"/>
    <w:lvl w:ilvl="0">
      <w:start w:val="3"/>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 w15:restartNumberingAfterBreak="0">
    <w:nsid w:val="397B5D15"/>
    <w:multiLevelType w:val="multilevel"/>
    <w:tmpl w:val="7DDABA44"/>
    <w:lvl w:ilvl="0">
      <w:start w:val="1"/>
      <w:numFmt w:val="decimal"/>
      <w:lvlText w:val="%1."/>
      <w:lvlJc w:val="left"/>
      <w:pPr>
        <w:ind w:left="786" w:hanging="360"/>
      </w:pPr>
      <w:rPr>
        <w:vertAlign w:val="baseline"/>
      </w:rPr>
    </w:lvl>
    <w:lvl w:ilvl="1">
      <w:start w:val="1"/>
      <w:numFmt w:val="lowerLetter"/>
      <w:lvlText w:val="%2."/>
      <w:lvlJc w:val="left"/>
      <w:pPr>
        <w:ind w:left="1298" w:hanging="359"/>
      </w:pPr>
      <w:rPr>
        <w:vertAlign w:val="baseline"/>
      </w:rPr>
    </w:lvl>
    <w:lvl w:ilvl="2">
      <w:start w:val="1"/>
      <w:numFmt w:val="lowerRoman"/>
      <w:lvlText w:val="%3."/>
      <w:lvlJc w:val="right"/>
      <w:pPr>
        <w:ind w:left="2018" w:hanging="180"/>
      </w:pPr>
      <w:rPr>
        <w:vertAlign w:val="baseline"/>
      </w:rPr>
    </w:lvl>
    <w:lvl w:ilvl="3">
      <w:start w:val="1"/>
      <w:numFmt w:val="decimal"/>
      <w:lvlText w:val="%4."/>
      <w:lvlJc w:val="left"/>
      <w:pPr>
        <w:ind w:left="2738" w:hanging="360"/>
      </w:pPr>
      <w:rPr>
        <w:vertAlign w:val="baseline"/>
      </w:rPr>
    </w:lvl>
    <w:lvl w:ilvl="4">
      <w:start w:val="1"/>
      <w:numFmt w:val="lowerLetter"/>
      <w:lvlText w:val="%5."/>
      <w:lvlJc w:val="left"/>
      <w:pPr>
        <w:ind w:left="3458" w:hanging="360"/>
      </w:pPr>
      <w:rPr>
        <w:vertAlign w:val="baseline"/>
      </w:rPr>
    </w:lvl>
    <w:lvl w:ilvl="5">
      <w:start w:val="1"/>
      <w:numFmt w:val="lowerRoman"/>
      <w:lvlText w:val="%6."/>
      <w:lvlJc w:val="right"/>
      <w:pPr>
        <w:ind w:left="4178" w:hanging="180"/>
      </w:pPr>
      <w:rPr>
        <w:vertAlign w:val="baseline"/>
      </w:rPr>
    </w:lvl>
    <w:lvl w:ilvl="6">
      <w:start w:val="1"/>
      <w:numFmt w:val="decimal"/>
      <w:lvlText w:val="%7."/>
      <w:lvlJc w:val="left"/>
      <w:pPr>
        <w:ind w:left="4898" w:hanging="360"/>
      </w:pPr>
      <w:rPr>
        <w:vertAlign w:val="baseline"/>
      </w:rPr>
    </w:lvl>
    <w:lvl w:ilvl="7">
      <w:start w:val="1"/>
      <w:numFmt w:val="lowerLetter"/>
      <w:lvlText w:val="%8."/>
      <w:lvlJc w:val="left"/>
      <w:pPr>
        <w:ind w:left="5618" w:hanging="360"/>
      </w:pPr>
      <w:rPr>
        <w:vertAlign w:val="baseline"/>
      </w:rPr>
    </w:lvl>
    <w:lvl w:ilvl="8">
      <w:start w:val="1"/>
      <w:numFmt w:val="lowerRoman"/>
      <w:lvlText w:val="%9."/>
      <w:lvlJc w:val="right"/>
      <w:pPr>
        <w:ind w:left="6338" w:hanging="180"/>
      </w:pPr>
      <w:rPr>
        <w:vertAlign w:val="baseline"/>
      </w:rPr>
    </w:lvl>
  </w:abstractNum>
  <w:abstractNum w:abstractNumId="2" w15:restartNumberingAfterBreak="0">
    <w:nsid w:val="3D9F4299"/>
    <w:multiLevelType w:val="multilevel"/>
    <w:tmpl w:val="2E1C60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56D6B49"/>
    <w:multiLevelType w:val="multilevel"/>
    <w:tmpl w:val="617648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9038100">
    <w:abstractNumId w:val="1"/>
  </w:num>
  <w:num w:numId="2" w16cid:durableId="1190871968">
    <w:abstractNumId w:val="0"/>
  </w:num>
  <w:num w:numId="3" w16cid:durableId="169179849">
    <w:abstractNumId w:val="3"/>
  </w:num>
  <w:num w:numId="4" w16cid:durableId="128562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92"/>
    <w:rsid w:val="00053DBD"/>
    <w:rsid w:val="000F6FC3"/>
    <w:rsid w:val="00551F21"/>
    <w:rsid w:val="009D6F92"/>
    <w:rsid w:val="009F105B"/>
    <w:rsid w:val="00A30EB7"/>
    <w:rsid w:val="00D60BE8"/>
    <w:rsid w:val="00E050D6"/>
    <w:rsid w:val="00E5653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B7EB"/>
  <w15:chartTrackingRefBased/>
  <w15:docId w15:val="{2BEC3804-E9A8-4A1C-BDD5-7D4E2B1E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6F92"/>
    <w:rPr>
      <w:lang w:val="en-GB"/>
    </w:rPr>
  </w:style>
  <w:style w:type="paragraph" w:styleId="Kop1">
    <w:name w:val="heading 1"/>
    <w:basedOn w:val="Standaard"/>
    <w:next w:val="Standaard"/>
    <w:link w:val="Kop1Char"/>
    <w:uiPriority w:val="9"/>
    <w:qFormat/>
    <w:rsid w:val="009D6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6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6F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6F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6F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6F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6F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6F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6F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6F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6F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6F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6F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6F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6F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6F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6F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6F92"/>
    <w:rPr>
      <w:rFonts w:eastAsiaTheme="majorEastAsia" w:cstheme="majorBidi"/>
      <w:color w:val="272727" w:themeColor="text1" w:themeTint="D8"/>
    </w:rPr>
  </w:style>
  <w:style w:type="paragraph" w:styleId="Titel">
    <w:name w:val="Title"/>
    <w:basedOn w:val="Standaard"/>
    <w:next w:val="Standaard"/>
    <w:link w:val="TitelChar"/>
    <w:uiPriority w:val="10"/>
    <w:qFormat/>
    <w:rsid w:val="009D6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6F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6F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6F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6F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6F92"/>
    <w:rPr>
      <w:i/>
      <w:iCs/>
      <w:color w:val="404040" w:themeColor="text1" w:themeTint="BF"/>
    </w:rPr>
  </w:style>
  <w:style w:type="paragraph" w:styleId="Lijstalinea">
    <w:name w:val="List Paragraph"/>
    <w:basedOn w:val="Standaard"/>
    <w:uiPriority w:val="34"/>
    <w:qFormat/>
    <w:rsid w:val="009D6F92"/>
    <w:pPr>
      <w:ind w:left="720"/>
      <w:contextualSpacing/>
    </w:pPr>
  </w:style>
  <w:style w:type="character" w:styleId="Intensievebenadrukking">
    <w:name w:val="Intense Emphasis"/>
    <w:basedOn w:val="Standaardalinea-lettertype"/>
    <w:uiPriority w:val="21"/>
    <w:qFormat/>
    <w:rsid w:val="009D6F92"/>
    <w:rPr>
      <w:i/>
      <w:iCs/>
      <w:color w:val="0F4761" w:themeColor="accent1" w:themeShade="BF"/>
    </w:rPr>
  </w:style>
  <w:style w:type="paragraph" w:styleId="Duidelijkcitaat">
    <w:name w:val="Intense Quote"/>
    <w:basedOn w:val="Standaard"/>
    <w:next w:val="Standaard"/>
    <w:link w:val="DuidelijkcitaatChar"/>
    <w:uiPriority w:val="30"/>
    <w:qFormat/>
    <w:rsid w:val="009D6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6F92"/>
    <w:rPr>
      <w:i/>
      <w:iCs/>
      <w:color w:val="0F4761" w:themeColor="accent1" w:themeShade="BF"/>
    </w:rPr>
  </w:style>
  <w:style w:type="character" w:styleId="Intensieveverwijzing">
    <w:name w:val="Intense Reference"/>
    <w:basedOn w:val="Standaardalinea-lettertype"/>
    <w:uiPriority w:val="32"/>
    <w:qFormat/>
    <w:rsid w:val="009D6F92"/>
    <w:rPr>
      <w:b/>
      <w:bCs/>
      <w:smallCaps/>
      <w:color w:val="0F4761" w:themeColor="accent1" w:themeShade="BF"/>
      <w:spacing w:val="5"/>
    </w:rPr>
  </w:style>
  <w:style w:type="character" w:styleId="Hyperlink">
    <w:name w:val="Hyperlink"/>
    <w:basedOn w:val="Standaardalinea-lettertype"/>
    <w:uiPriority w:val="99"/>
    <w:unhideWhenUsed/>
    <w:rsid w:val="009D6F92"/>
    <w:rPr>
      <w:color w:val="467886" w:themeColor="hyperlink"/>
      <w:u w:val="single"/>
    </w:rPr>
  </w:style>
  <w:style w:type="paragraph" w:styleId="Koptekst">
    <w:name w:val="header"/>
    <w:basedOn w:val="Standaard"/>
    <w:link w:val="KoptekstChar"/>
    <w:uiPriority w:val="99"/>
    <w:unhideWhenUsed/>
    <w:rsid w:val="009D6F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6F9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portofamsterdam.com/en/shipping/sea-shipp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akgebiedenbewaartermijn xmlns="0178f379-44c6-4cec-a31f-f7b966f7aa44" xsi:nil="true"/>
    <Status xmlns="0178f379-44c6-4cec-a31f-f7b966f7aa44">In behandeling</Status>
    <lcf76f155ced4ddcb4097134ff3c332f xmlns="0178f379-44c6-4cec-a31f-f7b966f7aa44">
      <Terms xmlns="http://schemas.microsoft.com/office/infopath/2007/PartnerControls"/>
    </lcf76f155ced4ddcb4097134ff3c332f>
    <TaxCatchAll xmlns="faf9565e-f7eb-4869-a6e6-c5658793300c"/>
    <Jaar xmlns="0178f379-44c6-4cec-a31f-f7b966f7aa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32A9B8EAE7D4CA674DBA3AD1F210E" ma:contentTypeVersion="24" ma:contentTypeDescription="Een nieuw document maken." ma:contentTypeScope="" ma:versionID="2de3156973fd0b38b29e1c2293bf36a9">
  <xsd:schema xmlns:xsd="http://www.w3.org/2001/XMLSchema" xmlns:xs="http://www.w3.org/2001/XMLSchema" xmlns:p="http://schemas.microsoft.com/office/2006/metadata/properties" xmlns:ns2="0178f379-44c6-4cec-a31f-f7b966f7aa44" xmlns:ns3="3c9d3d94-0a5d-469c-8a49-39879b55454f" xmlns:ns4="faf9565e-f7eb-4869-a6e6-c5658793300c" targetNamespace="http://schemas.microsoft.com/office/2006/metadata/properties" ma:root="true" ma:fieldsID="fa6038ba5d67eb3cf82515666eb43057" ns2:_="" ns3:_="" ns4:_="">
    <xsd:import namespace="0178f379-44c6-4cec-a31f-f7b966f7aa44"/>
    <xsd:import namespace="3c9d3d94-0a5d-469c-8a49-39879b55454f"/>
    <xsd:import namespace="faf9565e-f7eb-4869-a6e6-c565879330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Status"/>
                <xsd:element ref="ns2:Jaar" minOccurs="0"/>
                <xsd:element ref="ns2:Taakgebiedenbewaartermij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8f379-44c6-4cec-a31f-f7b966f7a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af37931-d6e7-451b-a1e9-1fa6e76719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ma:displayName="Status" ma:default="In behandeling" ma:format="Dropdown" ma:internalName="Status">
      <xsd:simpleType>
        <xsd:union memberTypes="dms:Text">
          <xsd:simpleType>
            <xsd:restriction base="dms:Choice">
              <xsd:enumeration value="In behandeling"/>
              <xsd:enumeration value="Afgerond"/>
            </xsd:restriction>
          </xsd:simpleType>
        </xsd:union>
      </xsd:simpleType>
    </xsd:element>
    <xsd:element name="Jaar" ma:index="27" nillable="true" ma:displayName="Jaar" ma:format="Dropdown" ma:internalName="Jaar">
      <xsd:simpleType>
        <xsd:restriction base="dms:Text">
          <xsd:maxLength value="255"/>
        </xsd:restriction>
      </xsd:simpleType>
    </xsd:element>
    <xsd:element name="Taakgebiedenbewaartermijn" ma:index="28" nillable="true" ma:displayName="Taakgebied en bewaartermijn" ma:format="Dropdown" ma:internalName="Taakgebiedenbewaartermijn">
      <xsd:simpleType>
        <xsd:restriction base="dms:Choice">
          <xsd:enumeration value="Procesbeschrijvingen, 2 jaar na vervanging"/>
          <xsd:enumeration value="Nautische advisering, 6 jaar na afhandeling"/>
          <xsd:enumeration value="Beleid, permanent"/>
          <xsd:enumeration value="Documentatie, na vervallen belang"/>
          <xsd:enumeration value="Besluitvorming, permanent"/>
          <xsd:enumeration value="Onderzoek, permanent"/>
          <xsd:enumeration value="Overleg, 1 jaar"/>
          <xsd:enumeration value="Vergunning/ontheffing, 7 jaar na einde toepasbaarheid"/>
        </xsd:restriction>
      </xsd:simpleType>
    </xsd:element>
  </xsd:schema>
  <xsd:schema xmlns:xsd="http://www.w3.org/2001/XMLSchema" xmlns:xs="http://www.w3.org/2001/XMLSchema" xmlns:dms="http://schemas.microsoft.com/office/2006/documentManagement/types" xmlns:pc="http://schemas.microsoft.com/office/infopath/2007/PartnerControls" targetNamespace="3c9d3d94-0a5d-469c-8a49-39879b55454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f9565e-f7eb-4869-a6e6-c5658793300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ffcf6d-34f6-48b2-90b5-0777a4f34140}" ma:internalName="TaxCatchAll" ma:showField="CatchAllData" ma:web="3c9d3d94-0a5d-469c-8a49-39879b554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D7379-7D78-43E5-8B0D-45A97994F812}">
  <ds:schemaRefs>
    <ds:schemaRef ds:uri="http://purl.org/dc/terms/"/>
    <ds:schemaRef ds:uri="http://schemas.microsoft.com/office/2006/metadata/properties"/>
    <ds:schemaRef ds:uri="http://schemas.microsoft.com/office/2006/documentManagement/types"/>
    <ds:schemaRef ds:uri="http://purl.org/dc/elements/1.1/"/>
    <ds:schemaRef ds:uri="0178f379-44c6-4cec-a31f-f7b966f7aa44"/>
    <ds:schemaRef ds:uri="http://schemas.microsoft.com/office/infopath/2007/PartnerControls"/>
    <ds:schemaRef ds:uri="http://schemas.openxmlformats.org/package/2006/metadata/core-properties"/>
    <ds:schemaRef ds:uri="3c9d3d94-0a5d-469c-8a49-39879b55454f"/>
    <ds:schemaRef ds:uri="faf9565e-f7eb-4869-a6e6-c5658793300c"/>
    <ds:schemaRef ds:uri="http://www.w3.org/XML/1998/namespace"/>
    <ds:schemaRef ds:uri="http://purl.org/dc/dcmitype/"/>
  </ds:schemaRefs>
</ds:datastoreItem>
</file>

<file path=customXml/itemProps2.xml><?xml version="1.0" encoding="utf-8"?>
<ds:datastoreItem xmlns:ds="http://schemas.openxmlformats.org/officeDocument/2006/customXml" ds:itemID="{1E4CF88C-1203-4D54-A2DA-18DCDC4F18B6}">
  <ds:schemaRefs>
    <ds:schemaRef ds:uri="http://schemas.microsoft.com/sharepoint/v3/contenttype/forms"/>
  </ds:schemaRefs>
</ds:datastoreItem>
</file>

<file path=customXml/itemProps3.xml><?xml version="1.0" encoding="utf-8"?>
<ds:datastoreItem xmlns:ds="http://schemas.openxmlformats.org/officeDocument/2006/customXml" ds:itemID="{228DAFD3-30C5-4690-A0D7-CBD4499B0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8f379-44c6-4cec-a31f-f7b966f7aa44"/>
    <ds:schemaRef ds:uri="3c9d3d94-0a5d-469c-8a49-39879b55454f"/>
    <ds:schemaRef ds:uri="faf9565e-f7eb-4869-a6e6-c5658793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2018</Words>
  <Characters>10878</Characters>
  <Application>Microsoft Office Word</Application>
  <DocSecurity>0</DocSecurity>
  <Lines>388</Lines>
  <Paragraphs>155</Paragraphs>
  <ScaleCrop>false</ScaleCrop>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Luijk, Piet</dc:creator>
  <cp:keywords/>
  <dc:description/>
  <cp:lastModifiedBy>Smit, Anja</cp:lastModifiedBy>
  <cp:revision>2</cp:revision>
  <dcterms:created xsi:type="dcterms:W3CDTF">2025-02-27T09:03:00Z</dcterms:created>
  <dcterms:modified xsi:type="dcterms:W3CDTF">2025-02-27T09:03:00Z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0x010100BB232A9B8EAE7D4CA674DBA3AD1F210E</vt:lpwstr>
  </property>
</Properties>
</file>